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AB58" w14:textId="14E14B8D" w:rsidR="007D3071" w:rsidRPr="00AD4DA4" w:rsidRDefault="00AD4DA4" w:rsidP="00AD4DA4">
      <w:pPr>
        <w:pStyle w:val="Titre1"/>
      </w:pPr>
      <w:r>
        <w:t xml:space="preserve">TOUT SAVOIR SUR </w:t>
      </w:r>
      <w:proofErr w:type="spellStart"/>
      <w:r w:rsidR="007D3071" w:rsidRPr="00AD4DA4">
        <w:t>MaPrimeRénov</w:t>
      </w:r>
      <w:proofErr w:type="spellEnd"/>
      <w:r w:rsidR="007D3071" w:rsidRPr="00AD4DA4">
        <w:t>’</w:t>
      </w:r>
    </w:p>
    <w:p w14:paraId="1D4510FD" w14:textId="7DA9886E" w:rsidR="007D3071" w:rsidRPr="001530B0" w:rsidRDefault="007D3071" w:rsidP="00AD4DA4"/>
    <w:p w14:paraId="674BED7B" w14:textId="77777777" w:rsidR="00954935" w:rsidRDefault="00954935" w:rsidP="00AD4DA4"/>
    <w:p w14:paraId="6BE3F1F3" w14:textId="719B20F3" w:rsidR="007D3071" w:rsidRPr="001530B0" w:rsidRDefault="00F55ECE" w:rsidP="00AD4DA4">
      <w:r>
        <w:t xml:space="preserve">Créée dans le cadre du plan de relance, </w:t>
      </w:r>
      <w:proofErr w:type="spellStart"/>
      <w:r>
        <w:t>MaPrimeRénov</w:t>
      </w:r>
      <w:proofErr w:type="spellEnd"/>
      <w:r>
        <w:t xml:space="preserve">’ est une aide à la rénovation </w:t>
      </w:r>
      <w:r w:rsidR="007D3071" w:rsidRPr="001530B0">
        <w:t>énergétique destinée aux ménages. Son montant est calculé en fonction des ressources du foyer et du gain écologique permis par ces travaux.</w:t>
      </w:r>
    </w:p>
    <w:p w14:paraId="18439407" w14:textId="73929F37" w:rsidR="007D3071" w:rsidRPr="001530B0" w:rsidRDefault="007D3071" w:rsidP="00AD4DA4"/>
    <w:p w14:paraId="5AF2F68B" w14:textId="415CCBAB" w:rsidR="007D3071" w:rsidRPr="00AD4DA4" w:rsidRDefault="007D3071" w:rsidP="00AD4DA4">
      <w:pPr>
        <w:pStyle w:val="Titre2"/>
      </w:pPr>
      <w:r w:rsidRPr="00AD4DA4">
        <w:t>Quels sont les critères d’éligibilité ?</w:t>
      </w:r>
    </w:p>
    <w:p w14:paraId="66C2639F" w14:textId="77777777" w:rsidR="00954935" w:rsidRDefault="009D40F0" w:rsidP="00AD4DA4">
      <w:r w:rsidRPr="001530B0">
        <w:t xml:space="preserve">Tous les propriétaires, qu’ils occupent ou non le logement qui fait l’objet de la demande, sont éligibles à </w:t>
      </w:r>
      <w:proofErr w:type="spellStart"/>
      <w:r w:rsidRPr="00AD4DA4">
        <w:t>MaPrimeRénov</w:t>
      </w:r>
      <w:proofErr w:type="spellEnd"/>
      <w:r w:rsidRPr="00AD4DA4">
        <w:t>’</w:t>
      </w:r>
      <w:r w:rsidRPr="001530B0">
        <w:t>.</w:t>
      </w:r>
    </w:p>
    <w:p w14:paraId="7C33E791" w14:textId="77777777" w:rsidR="00954935" w:rsidRDefault="00954935" w:rsidP="00AD4DA4"/>
    <w:p w14:paraId="552A25BC" w14:textId="6E478F79" w:rsidR="00595091" w:rsidRDefault="00D873F5" w:rsidP="00AD4DA4">
      <w:r w:rsidRPr="001530B0">
        <w:t>P</w:t>
      </w:r>
      <w:r w:rsidR="00595091" w:rsidRPr="001530B0">
        <w:t xml:space="preserve">our savoir quel est </w:t>
      </w:r>
      <w:r w:rsidRPr="001530B0">
        <w:t>le</w:t>
      </w:r>
      <w:r w:rsidR="00595091" w:rsidRPr="001530B0">
        <w:t xml:space="preserve"> montant des aides auxquelles vous avez droit, il faut d’abord </w:t>
      </w:r>
      <w:r w:rsidRPr="001530B0">
        <w:t>identifier</w:t>
      </w:r>
      <w:r w:rsidR="00595091" w:rsidRPr="001530B0">
        <w:t xml:space="preserve"> à quelle catégorie </w:t>
      </w:r>
      <w:proofErr w:type="spellStart"/>
      <w:r w:rsidR="00595091" w:rsidRPr="001530B0">
        <w:t>MaPrimeRénov</w:t>
      </w:r>
      <w:proofErr w:type="spellEnd"/>
      <w:r w:rsidR="00595091" w:rsidRPr="001530B0">
        <w:t>’ vous appartenez</w:t>
      </w:r>
      <w:r w:rsidRPr="001530B0">
        <w:t>. Cette dernière est définie par votre</w:t>
      </w:r>
      <w:r w:rsidR="009D40F0" w:rsidRPr="001530B0">
        <w:t xml:space="preserve"> </w:t>
      </w:r>
      <w:r w:rsidRPr="001530B0">
        <w:t xml:space="preserve">revenu fiscal de référence (RFR) indiqué sur l’avis d’imposition </w:t>
      </w:r>
      <w:r w:rsidR="009D40F0" w:rsidRPr="001530B0">
        <w:t xml:space="preserve">mais aussi la localisation du logement (en île de France ou hors île de </w:t>
      </w:r>
      <w:r w:rsidRPr="001530B0">
        <w:t>France)</w:t>
      </w:r>
      <w:r w:rsidR="009D40F0" w:rsidRPr="001530B0">
        <w:t xml:space="preserve">. </w:t>
      </w:r>
      <w:r w:rsidR="00595091" w:rsidRPr="001530B0">
        <w:t xml:space="preserve">Ainsi pour un logement situé en Isère : </w:t>
      </w:r>
    </w:p>
    <w:p w14:paraId="4A580114" w14:textId="77777777" w:rsidR="00954935" w:rsidRDefault="00954935" w:rsidP="00AD4DA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12"/>
        <w:gridCol w:w="1814"/>
        <w:gridCol w:w="1814"/>
        <w:gridCol w:w="1814"/>
        <w:gridCol w:w="1814"/>
      </w:tblGrid>
      <w:tr w:rsidR="00EE2E71" w14:paraId="5D8FE5B3" w14:textId="77777777" w:rsidTr="00312427">
        <w:tc>
          <w:tcPr>
            <w:tcW w:w="1812" w:type="dxa"/>
            <w:shd w:val="clear" w:color="auto" w:fill="808080" w:themeFill="background1" w:themeFillShade="80"/>
            <w:vAlign w:val="center"/>
          </w:tcPr>
          <w:p w14:paraId="3F97CC58" w14:textId="63A8DAED" w:rsidR="00EE2E71" w:rsidRPr="00312427" w:rsidRDefault="00EE2E71" w:rsidP="00FF4E95">
            <w:pPr>
              <w:jc w:val="center"/>
              <w:rPr>
                <w:b/>
                <w:bCs/>
                <w:color w:val="FFFFFF" w:themeColor="background1"/>
              </w:rPr>
            </w:pPr>
            <w:r w:rsidRPr="00312427">
              <w:rPr>
                <w:b/>
                <w:bCs/>
                <w:color w:val="FFFFFF" w:themeColor="background1"/>
              </w:rPr>
              <w:t>Nombre</w:t>
            </w:r>
            <w:r w:rsidR="00FF4E95" w:rsidRPr="00312427">
              <w:rPr>
                <w:b/>
                <w:bCs/>
                <w:color w:val="FFFFFF" w:themeColor="background1"/>
              </w:rPr>
              <w:t xml:space="preserve"> de personne composant le ménage (foyer fiscal)</w:t>
            </w:r>
          </w:p>
        </w:tc>
        <w:tc>
          <w:tcPr>
            <w:tcW w:w="1812" w:type="dxa"/>
            <w:shd w:val="clear" w:color="auto" w:fill="1F3864" w:themeFill="accent1" w:themeFillShade="80"/>
            <w:vAlign w:val="center"/>
          </w:tcPr>
          <w:p w14:paraId="3D871061" w14:textId="46DE9608" w:rsidR="00EE2E71" w:rsidRPr="00312427" w:rsidRDefault="00EE2E71" w:rsidP="00FF4E9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12427">
              <w:rPr>
                <w:b/>
                <w:bCs/>
                <w:color w:val="FFFFFF" w:themeColor="background1"/>
              </w:rPr>
              <w:t>MaPrimeRénov</w:t>
            </w:r>
            <w:proofErr w:type="spellEnd"/>
            <w:r w:rsidRPr="00312427">
              <w:rPr>
                <w:b/>
                <w:bCs/>
                <w:color w:val="FFFFFF" w:themeColor="background1"/>
              </w:rPr>
              <w:t>’ Bleu</w:t>
            </w:r>
          </w:p>
        </w:tc>
        <w:tc>
          <w:tcPr>
            <w:tcW w:w="1812" w:type="dxa"/>
            <w:shd w:val="clear" w:color="auto" w:fill="BF8F00" w:themeFill="accent4" w:themeFillShade="BF"/>
            <w:vAlign w:val="center"/>
          </w:tcPr>
          <w:p w14:paraId="018C2CDD" w14:textId="68B63F4D" w:rsidR="00EE2E71" w:rsidRPr="00312427" w:rsidRDefault="00EE2E71" w:rsidP="00FF4E9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12427">
              <w:rPr>
                <w:b/>
                <w:bCs/>
                <w:color w:val="FFFFFF" w:themeColor="background1"/>
              </w:rPr>
              <w:t>MaPrimeRénov</w:t>
            </w:r>
            <w:proofErr w:type="spellEnd"/>
            <w:r w:rsidRPr="00312427">
              <w:rPr>
                <w:b/>
                <w:bCs/>
                <w:color w:val="FFFFFF" w:themeColor="background1"/>
              </w:rPr>
              <w:t>’ Jaune</w:t>
            </w:r>
          </w:p>
        </w:tc>
        <w:tc>
          <w:tcPr>
            <w:tcW w:w="1813" w:type="dxa"/>
            <w:shd w:val="clear" w:color="auto" w:fill="7030A0"/>
            <w:vAlign w:val="center"/>
          </w:tcPr>
          <w:p w14:paraId="79A1C2AB" w14:textId="78C6DFEF" w:rsidR="00EE2E71" w:rsidRPr="00312427" w:rsidRDefault="00EE2E71" w:rsidP="00FF4E9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12427">
              <w:rPr>
                <w:b/>
                <w:bCs/>
                <w:color w:val="FFFFFF" w:themeColor="background1"/>
              </w:rPr>
              <w:t>MaPrimeRénov</w:t>
            </w:r>
            <w:proofErr w:type="spellEnd"/>
            <w:r w:rsidRPr="00312427">
              <w:rPr>
                <w:b/>
                <w:bCs/>
                <w:color w:val="FFFFFF" w:themeColor="background1"/>
              </w:rPr>
              <w:t>’ Violet</w:t>
            </w:r>
          </w:p>
        </w:tc>
        <w:tc>
          <w:tcPr>
            <w:tcW w:w="1813" w:type="dxa"/>
            <w:shd w:val="clear" w:color="auto" w:fill="CE2C9C"/>
            <w:vAlign w:val="center"/>
          </w:tcPr>
          <w:p w14:paraId="6BB5BEFD" w14:textId="77777777" w:rsidR="00EE2E71" w:rsidRPr="00312427" w:rsidRDefault="00EE2E71" w:rsidP="00FF4E9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312427">
              <w:rPr>
                <w:b/>
                <w:bCs/>
                <w:color w:val="FFFFFF" w:themeColor="background1"/>
              </w:rPr>
              <w:t>MaPrimeRénov</w:t>
            </w:r>
            <w:proofErr w:type="spellEnd"/>
            <w:r w:rsidRPr="00312427">
              <w:rPr>
                <w:b/>
                <w:bCs/>
                <w:color w:val="FFFFFF" w:themeColor="background1"/>
              </w:rPr>
              <w:t>’</w:t>
            </w:r>
          </w:p>
          <w:p w14:paraId="4DB616A7" w14:textId="59207623" w:rsidR="00EE2E71" w:rsidRPr="00312427" w:rsidRDefault="00EE2E71" w:rsidP="00FF4E95">
            <w:pPr>
              <w:jc w:val="center"/>
              <w:rPr>
                <w:b/>
                <w:bCs/>
                <w:color w:val="FFFFFF" w:themeColor="background1"/>
              </w:rPr>
            </w:pPr>
            <w:r w:rsidRPr="00312427">
              <w:rPr>
                <w:b/>
                <w:bCs/>
                <w:color w:val="FFFFFF" w:themeColor="background1"/>
              </w:rPr>
              <w:t>Rose</w:t>
            </w:r>
          </w:p>
        </w:tc>
      </w:tr>
      <w:tr w:rsidR="00FF4E95" w14:paraId="1047C1FA" w14:textId="77777777" w:rsidTr="00312427">
        <w:tc>
          <w:tcPr>
            <w:tcW w:w="1812" w:type="dxa"/>
            <w:shd w:val="clear" w:color="auto" w:fill="A6A6A6" w:themeFill="background1" w:themeFillShade="A6"/>
            <w:vAlign w:val="center"/>
          </w:tcPr>
          <w:p w14:paraId="746BE67B" w14:textId="39578095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1</w:t>
            </w:r>
          </w:p>
        </w:tc>
        <w:tc>
          <w:tcPr>
            <w:tcW w:w="1812" w:type="dxa"/>
            <w:shd w:val="clear" w:color="auto" w:fill="2F5496" w:themeFill="accent1" w:themeFillShade="BF"/>
            <w:vAlign w:val="center"/>
          </w:tcPr>
          <w:p w14:paraId="6A75F072" w14:textId="0024DC92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14 879 €</w:t>
            </w:r>
          </w:p>
        </w:tc>
        <w:tc>
          <w:tcPr>
            <w:tcW w:w="1812" w:type="dxa"/>
            <w:shd w:val="clear" w:color="auto" w:fill="FFC000" w:themeFill="accent4"/>
            <w:vAlign w:val="center"/>
          </w:tcPr>
          <w:p w14:paraId="499637AE" w14:textId="1DCF38FB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19 074 €</w:t>
            </w:r>
          </w:p>
        </w:tc>
        <w:tc>
          <w:tcPr>
            <w:tcW w:w="1813" w:type="dxa"/>
            <w:shd w:val="clear" w:color="auto" w:fill="873AC0"/>
            <w:vAlign w:val="center"/>
          </w:tcPr>
          <w:p w14:paraId="22E2E821" w14:textId="3A51E1F2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29 148 €</w:t>
            </w:r>
          </w:p>
        </w:tc>
        <w:tc>
          <w:tcPr>
            <w:tcW w:w="1813" w:type="dxa"/>
            <w:shd w:val="clear" w:color="auto" w:fill="D63EA7"/>
            <w:vAlign w:val="center"/>
          </w:tcPr>
          <w:p w14:paraId="75EFEC43" w14:textId="30F9A0D2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&gt; 29 148 €</w:t>
            </w:r>
          </w:p>
        </w:tc>
      </w:tr>
      <w:tr w:rsidR="00FF4E95" w14:paraId="3B381836" w14:textId="77777777" w:rsidTr="00312427">
        <w:tc>
          <w:tcPr>
            <w:tcW w:w="1812" w:type="dxa"/>
            <w:shd w:val="clear" w:color="auto" w:fill="A6A6A6" w:themeFill="background1" w:themeFillShade="A6"/>
            <w:vAlign w:val="center"/>
          </w:tcPr>
          <w:p w14:paraId="2BE93C35" w14:textId="6CEC99E2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2</w:t>
            </w:r>
          </w:p>
        </w:tc>
        <w:tc>
          <w:tcPr>
            <w:tcW w:w="1812" w:type="dxa"/>
            <w:shd w:val="clear" w:color="auto" w:fill="2F5496" w:themeFill="accent1" w:themeFillShade="BF"/>
            <w:vAlign w:val="center"/>
          </w:tcPr>
          <w:p w14:paraId="2DB7936C" w14:textId="7A93DD3B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21 760 €</w:t>
            </w:r>
          </w:p>
        </w:tc>
        <w:tc>
          <w:tcPr>
            <w:tcW w:w="1812" w:type="dxa"/>
            <w:shd w:val="clear" w:color="auto" w:fill="FFC000" w:themeFill="accent4"/>
            <w:vAlign w:val="center"/>
          </w:tcPr>
          <w:p w14:paraId="769F6BB9" w14:textId="7B11CD2E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27 896 €</w:t>
            </w:r>
          </w:p>
        </w:tc>
        <w:tc>
          <w:tcPr>
            <w:tcW w:w="1813" w:type="dxa"/>
            <w:shd w:val="clear" w:color="auto" w:fill="873AC0"/>
            <w:vAlign w:val="center"/>
          </w:tcPr>
          <w:p w14:paraId="5CF4A213" w14:textId="582D7661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42 848 €</w:t>
            </w:r>
          </w:p>
        </w:tc>
        <w:tc>
          <w:tcPr>
            <w:tcW w:w="1813" w:type="dxa"/>
            <w:shd w:val="clear" w:color="auto" w:fill="D63EA7"/>
            <w:vAlign w:val="center"/>
          </w:tcPr>
          <w:p w14:paraId="2FFA9522" w14:textId="2B150AEC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&gt; 42 848 €</w:t>
            </w:r>
          </w:p>
        </w:tc>
      </w:tr>
      <w:tr w:rsidR="00FF4E95" w14:paraId="3EC80261" w14:textId="77777777" w:rsidTr="00312427">
        <w:tc>
          <w:tcPr>
            <w:tcW w:w="1812" w:type="dxa"/>
            <w:shd w:val="clear" w:color="auto" w:fill="A6A6A6" w:themeFill="background1" w:themeFillShade="A6"/>
            <w:vAlign w:val="center"/>
          </w:tcPr>
          <w:p w14:paraId="7205A7CE" w14:textId="4BD8776D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3</w:t>
            </w:r>
          </w:p>
        </w:tc>
        <w:tc>
          <w:tcPr>
            <w:tcW w:w="1812" w:type="dxa"/>
            <w:shd w:val="clear" w:color="auto" w:fill="2F5496" w:themeFill="accent1" w:themeFillShade="BF"/>
            <w:vAlign w:val="center"/>
          </w:tcPr>
          <w:p w14:paraId="5E038205" w14:textId="159B1300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26 170 €</w:t>
            </w:r>
          </w:p>
        </w:tc>
        <w:tc>
          <w:tcPr>
            <w:tcW w:w="1812" w:type="dxa"/>
            <w:shd w:val="clear" w:color="auto" w:fill="FFC000" w:themeFill="accent4"/>
            <w:vAlign w:val="center"/>
          </w:tcPr>
          <w:p w14:paraId="479FE124" w14:textId="337DBB89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33 547 €</w:t>
            </w:r>
          </w:p>
        </w:tc>
        <w:tc>
          <w:tcPr>
            <w:tcW w:w="1813" w:type="dxa"/>
            <w:shd w:val="clear" w:color="auto" w:fill="873AC0"/>
            <w:vAlign w:val="center"/>
          </w:tcPr>
          <w:p w14:paraId="5B8D0E6C" w14:textId="04CBD53F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51 592 €</w:t>
            </w:r>
          </w:p>
        </w:tc>
        <w:tc>
          <w:tcPr>
            <w:tcW w:w="1813" w:type="dxa"/>
            <w:shd w:val="clear" w:color="auto" w:fill="D63EA7"/>
            <w:vAlign w:val="center"/>
          </w:tcPr>
          <w:p w14:paraId="4D6F3819" w14:textId="169F10A5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&gt; 51 582 €</w:t>
            </w:r>
          </w:p>
        </w:tc>
      </w:tr>
      <w:tr w:rsidR="00FF4E95" w14:paraId="6FDE9D2B" w14:textId="77777777" w:rsidTr="00312427">
        <w:tc>
          <w:tcPr>
            <w:tcW w:w="1812" w:type="dxa"/>
            <w:shd w:val="clear" w:color="auto" w:fill="A6A6A6" w:themeFill="background1" w:themeFillShade="A6"/>
            <w:vAlign w:val="center"/>
          </w:tcPr>
          <w:p w14:paraId="1A102147" w14:textId="4A6A620B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4</w:t>
            </w:r>
          </w:p>
        </w:tc>
        <w:tc>
          <w:tcPr>
            <w:tcW w:w="1812" w:type="dxa"/>
            <w:shd w:val="clear" w:color="auto" w:fill="2F5496" w:themeFill="accent1" w:themeFillShade="BF"/>
            <w:vAlign w:val="center"/>
          </w:tcPr>
          <w:p w14:paraId="77D952B1" w14:textId="4769D37C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30 572 €</w:t>
            </w:r>
          </w:p>
        </w:tc>
        <w:tc>
          <w:tcPr>
            <w:tcW w:w="1812" w:type="dxa"/>
            <w:shd w:val="clear" w:color="auto" w:fill="FFC000" w:themeFill="accent4"/>
            <w:vAlign w:val="center"/>
          </w:tcPr>
          <w:p w14:paraId="67464F74" w14:textId="4259DDEA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39 192 €</w:t>
            </w:r>
          </w:p>
        </w:tc>
        <w:tc>
          <w:tcPr>
            <w:tcW w:w="1813" w:type="dxa"/>
            <w:shd w:val="clear" w:color="auto" w:fill="873AC0"/>
            <w:vAlign w:val="center"/>
          </w:tcPr>
          <w:p w14:paraId="0F62F86D" w14:textId="3E482025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60 336 €</w:t>
            </w:r>
          </w:p>
        </w:tc>
        <w:tc>
          <w:tcPr>
            <w:tcW w:w="1813" w:type="dxa"/>
            <w:shd w:val="clear" w:color="auto" w:fill="D63EA7"/>
            <w:vAlign w:val="center"/>
          </w:tcPr>
          <w:p w14:paraId="62E1148F" w14:textId="3EC122C6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&gt; 60 336 €</w:t>
            </w:r>
          </w:p>
        </w:tc>
      </w:tr>
      <w:tr w:rsidR="00FF4E95" w14:paraId="1A24A18C" w14:textId="77777777" w:rsidTr="00312427">
        <w:tc>
          <w:tcPr>
            <w:tcW w:w="1812" w:type="dxa"/>
            <w:shd w:val="clear" w:color="auto" w:fill="A6A6A6" w:themeFill="background1" w:themeFillShade="A6"/>
            <w:vAlign w:val="center"/>
          </w:tcPr>
          <w:p w14:paraId="4A40780D" w14:textId="6E402AD7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5</w:t>
            </w:r>
          </w:p>
        </w:tc>
        <w:tc>
          <w:tcPr>
            <w:tcW w:w="1812" w:type="dxa"/>
            <w:shd w:val="clear" w:color="auto" w:fill="2F5496" w:themeFill="accent1" w:themeFillShade="BF"/>
            <w:vAlign w:val="center"/>
          </w:tcPr>
          <w:p w14:paraId="264A6743" w14:textId="2003BA03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34 993 €</w:t>
            </w:r>
          </w:p>
        </w:tc>
        <w:tc>
          <w:tcPr>
            <w:tcW w:w="1812" w:type="dxa"/>
            <w:shd w:val="clear" w:color="auto" w:fill="FFC000" w:themeFill="accent4"/>
            <w:vAlign w:val="center"/>
          </w:tcPr>
          <w:p w14:paraId="0F683555" w14:textId="0E104AC9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44 860 €</w:t>
            </w:r>
          </w:p>
        </w:tc>
        <w:tc>
          <w:tcPr>
            <w:tcW w:w="1813" w:type="dxa"/>
            <w:shd w:val="clear" w:color="auto" w:fill="873AC0"/>
            <w:vAlign w:val="center"/>
          </w:tcPr>
          <w:p w14:paraId="2BD2B600" w14:textId="028D889F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≤ 69 081 €</w:t>
            </w:r>
          </w:p>
        </w:tc>
        <w:tc>
          <w:tcPr>
            <w:tcW w:w="1813" w:type="dxa"/>
            <w:shd w:val="clear" w:color="auto" w:fill="D63EA7"/>
            <w:vAlign w:val="center"/>
          </w:tcPr>
          <w:p w14:paraId="4D9CF9B6" w14:textId="380A8AC8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&gt; 69 081 €</w:t>
            </w:r>
          </w:p>
        </w:tc>
      </w:tr>
      <w:tr w:rsidR="00FF4E95" w14:paraId="5753BE1E" w14:textId="77777777" w:rsidTr="00312427">
        <w:tc>
          <w:tcPr>
            <w:tcW w:w="1812" w:type="dxa"/>
            <w:shd w:val="clear" w:color="auto" w:fill="A6A6A6" w:themeFill="background1" w:themeFillShade="A6"/>
            <w:vAlign w:val="center"/>
          </w:tcPr>
          <w:p w14:paraId="0A5636F4" w14:textId="22B831ED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Par personne supplémentaire</w:t>
            </w:r>
          </w:p>
        </w:tc>
        <w:tc>
          <w:tcPr>
            <w:tcW w:w="1812" w:type="dxa"/>
            <w:shd w:val="clear" w:color="auto" w:fill="2F5496" w:themeFill="accent1" w:themeFillShade="BF"/>
            <w:vAlign w:val="center"/>
          </w:tcPr>
          <w:p w14:paraId="2886DFDF" w14:textId="2DF3BC84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+ 4 412 €</w:t>
            </w:r>
          </w:p>
        </w:tc>
        <w:tc>
          <w:tcPr>
            <w:tcW w:w="1812" w:type="dxa"/>
            <w:shd w:val="clear" w:color="auto" w:fill="FFC000" w:themeFill="accent4"/>
            <w:vAlign w:val="center"/>
          </w:tcPr>
          <w:p w14:paraId="59472E73" w14:textId="2339C138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+ 5 651 €</w:t>
            </w:r>
          </w:p>
        </w:tc>
        <w:tc>
          <w:tcPr>
            <w:tcW w:w="1813" w:type="dxa"/>
            <w:shd w:val="clear" w:color="auto" w:fill="873AC0"/>
            <w:vAlign w:val="center"/>
          </w:tcPr>
          <w:p w14:paraId="1ACDD3B6" w14:textId="72591A97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+ 8 744 €</w:t>
            </w:r>
          </w:p>
        </w:tc>
        <w:tc>
          <w:tcPr>
            <w:tcW w:w="1813" w:type="dxa"/>
            <w:shd w:val="clear" w:color="auto" w:fill="D63EA7"/>
            <w:vAlign w:val="center"/>
          </w:tcPr>
          <w:p w14:paraId="653FB01A" w14:textId="25BC9178" w:rsidR="00FF4E95" w:rsidRPr="00312427" w:rsidRDefault="00FF4E95" w:rsidP="00FF4E95">
            <w:pPr>
              <w:jc w:val="center"/>
              <w:rPr>
                <w:color w:val="FFFFFF" w:themeColor="background1"/>
              </w:rPr>
            </w:pPr>
            <w:r w:rsidRPr="00312427">
              <w:rPr>
                <w:color w:val="FFFFFF" w:themeColor="background1"/>
              </w:rPr>
              <w:t>+ 8 744 €</w:t>
            </w:r>
          </w:p>
        </w:tc>
      </w:tr>
    </w:tbl>
    <w:p w14:paraId="305ADFA3" w14:textId="77777777" w:rsidR="00EE2E71" w:rsidRPr="001530B0" w:rsidRDefault="00EE2E71" w:rsidP="00FF4E95">
      <w:pPr>
        <w:jc w:val="center"/>
      </w:pPr>
    </w:p>
    <w:p w14:paraId="617F743D" w14:textId="77777777" w:rsidR="00954935" w:rsidRDefault="00954935" w:rsidP="00AD4DA4"/>
    <w:p w14:paraId="24F03F99" w14:textId="2D2E3A4D" w:rsidR="001530B0" w:rsidRDefault="00AD4DA4" w:rsidP="00AD4DA4">
      <w:r>
        <w:rPr>
          <w:noProof/>
        </w:rPr>
        <w:drawing>
          <wp:anchor distT="0" distB="0" distL="114300" distR="114300" simplePos="0" relativeHeight="251658240" behindDoc="0" locked="0" layoutInCell="1" allowOverlap="1" wp14:anchorId="705241EF" wp14:editId="1B9000D1">
            <wp:simplePos x="0" y="0"/>
            <wp:positionH relativeFrom="column">
              <wp:posOffset>319405</wp:posOffset>
            </wp:positionH>
            <wp:positionV relativeFrom="paragraph">
              <wp:posOffset>187325</wp:posOffset>
            </wp:positionV>
            <wp:extent cx="830580" cy="830580"/>
            <wp:effectExtent l="0" t="0" r="0" b="0"/>
            <wp:wrapSquare wrapText="bothSides"/>
            <wp:docPr id="2" name="Graphique 2" descr="Inform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formatio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D53B8" w14:textId="5A850722" w:rsidR="007D3071" w:rsidRPr="00AD4DA4" w:rsidRDefault="001530B0" w:rsidP="00AD4DA4">
      <w:pPr>
        <w:jc w:val="center"/>
        <w:rPr>
          <w:b/>
          <w:bCs/>
          <w:color w:val="9B3287"/>
          <w:sz w:val="28"/>
          <w:szCs w:val="28"/>
        </w:rPr>
      </w:pPr>
      <w:r w:rsidRPr="00AD4DA4">
        <w:rPr>
          <w:b/>
          <w:bCs/>
          <w:color w:val="9B3287"/>
          <w:sz w:val="28"/>
          <w:szCs w:val="28"/>
        </w:rPr>
        <w:t>LE SAVIEZ-VOUS ?</w:t>
      </w:r>
    </w:p>
    <w:p w14:paraId="7CD19037" w14:textId="55659FCC" w:rsidR="001530B0" w:rsidRPr="00AD4DA4" w:rsidRDefault="001530B0" w:rsidP="00AD4DA4">
      <w:pPr>
        <w:jc w:val="center"/>
        <w:rPr>
          <w:color w:val="9B3287"/>
        </w:rPr>
      </w:pPr>
      <w:r w:rsidRPr="00AD4DA4">
        <w:rPr>
          <w:color w:val="9B3287"/>
        </w:rPr>
        <w:t xml:space="preserve">Pour bénéficier de </w:t>
      </w:r>
      <w:proofErr w:type="spellStart"/>
      <w:r w:rsidRPr="00AD4DA4">
        <w:rPr>
          <w:color w:val="9B3287"/>
        </w:rPr>
        <w:t>MaPrimeRénov</w:t>
      </w:r>
      <w:proofErr w:type="spellEnd"/>
      <w:r w:rsidRPr="00AD4DA4">
        <w:rPr>
          <w:color w:val="9B3287"/>
        </w:rPr>
        <w:t>’, vous devez obligatoirement faire appel à des entreprises Reconnues Garantes de l’Environnement (RGE).</w:t>
      </w:r>
    </w:p>
    <w:p w14:paraId="5E985664" w14:textId="6854D9BE" w:rsidR="009D40F0" w:rsidRDefault="009D40F0" w:rsidP="00AD4DA4"/>
    <w:p w14:paraId="1A324589" w14:textId="3E76D815" w:rsidR="00A52D4A" w:rsidRDefault="00A52D4A" w:rsidP="00AD4DA4"/>
    <w:p w14:paraId="704C827B" w14:textId="77777777" w:rsidR="00954935" w:rsidRDefault="00954935" w:rsidP="00AD4DA4"/>
    <w:p w14:paraId="1272CF19" w14:textId="597FBB36" w:rsidR="00A52D4A" w:rsidRDefault="00A52D4A" w:rsidP="00AD4DA4"/>
    <w:p w14:paraId="0F49DC15" w14:textId="3CC13C52" w:rsidR="007D3071" w:rsidRDefault="007D3071" w:rsidP="00DC5E0F">
      <w:pPr>
        <w:pStyle w:val="Titre2"/>
      </w:pPr>
      <w:r w:rsidRPr="001530B0">
        <w:lastRenderedPageBreak/>
        <w:t>Quels sont les travaux concernés ?</w:t>
      </w:r>
    </w:p>
    <w:p w14:paraId="5C33DD92" w14:textId="2CADD2FC" w:rsidR="00EE2E71" w:rsidRDefault="00483F74" w:rsidP="00AD4DA4">
      <w:r w:rsidRPr="00483F74">
        <w:t xml:space="preserve">Les travaux </w:t>
      </w:r>
      <w:r>
        <w:t xml:space="preserve">de rénovation énergétique </w:t>
      </w:r>
      <w:r w:rsidRPr="00483F74">
        <w:t>concernés par cette aide sont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FFFFFF" w:themeColor="background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3F74" w14:paraId="7D3B0E0D" w14:textId="77777777" w:rsidTr="00954935">
        <w:trPr>
          <w:jc w:val="center"/>
        </w:trPr>
        <w:tc>
          <w:tcPr>
            <w:tcW w:w="2265" w:type="dxa"/>
            <w:shd w:val="clear" w:color="auto" w:fill="32B9C8"/>
            <w:vAlign w:val="center"/>
          </w:tcPr>
          <w:p w14:paraId="356F4504" w14:textId="3F32EDCE" w:rsidR="00A47C6D" w:rsidRDefault="00A52D4A" w:rsidP="00A52D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23351C" wp14:editId="21E6BFE4">
                  <wp:extent cx="525780" cy="525780"/>
                  <wp:effectExtent l="0" t="0" r="7620" b="7620"/>
                  <wp:docPr id="8" name="Graphique 8" descr="Outils d'exploitation mini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que 8" descr="Outils d'exploitation miniè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0BE59" w14:textId="49AAB85B" w:rsidR="00483F74" w:rsidRDefault="00483F74" w:rsidP="00A52D4A">
            <w:pPr>
              <w:jc w:val="center"/>
            </w:pPr>
            <w:r>
              <w:t>Isolation</w:t>
            </w:r>
          </w:p>
        </w:tc>
        <w:tc>
          <w:tcPr>
            <w:tcW w:w="2265" w:type="dxa"/>
            <w:shd w:val="clear" w:color="auto" w:fill="9B3287"/>
            <w:vAlign w:val="center"/>
          </w:tcPr>
          <w:p w14:paraId="3749EA93" w14:textId="36400432" w:rsidR="00A47C6D" w:rsidRDefault="00A47C6D" w:rsidP="00A52D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EDB9DF" wp14:editId="5F8A5F8A">
                  <wp:extent cx="510540" cy="510540"/>
                  <wp:effectExtent l="0" t="0" r="0" b="3810"/>
                  <wp:docPr id="4" name="Graphique 4" descr="Thermomè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Thermomèt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325C4" w14:textId="4EFC11F6" w:rsidR="00483F74" w:rsidRDefault="00483F74" w:rsidP="00A52D4A">
            <w:pPr>
              <w:jc w:val="center"/>
            </w:pPr>
            <w:r>
              <w:t>Chauffage</w:t>
            </w:r>
          </w:p>
        </w:tc>
        <w:tc>
          <w:tcPr>
            <w:tcW w:w="2266" w:type="dxa"/>
            <w:shd w:val="clear" w:color="auto" w:fill="32B9C8"/>
            <w:vAlign w:val="center"/>
          </w:tcPr>
          <w:p w14:paraId="3420AB5E" w14:textId="1440F2C0" w:rsidR="00A47C6D" w:rsidRDefault="00A47C6D" w:rsidP="00A52D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AD6181" wp14:editId="681A90D5">
                  <wp:extent cx="533400" cy="533400"/>
                  <wp:effectExtent l="0" t="0" r="0" b="0"/>
                  <wp:docPr id="5" name="Graphique 5" descr="Transf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Transfer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C83FA" w14:textId="44E22E8D" w:rsidR="00483F74" w:rsidRDefault="00483F74" w:rsidP="00A52D4A">
            <w:pPr>
              <w:jc w:val="center"/>
            </w:pPr>
            <w:r>
              <w:t>Ventilation</w:t>
            </w:r>
          </w:p>
        </w:tc>
        <w:tc>
          <w:tcPr>
            <w:tcW w:w="2266" w:type="dxa"/>
            <w:shd w:val="clear" w:color="auto" w:fill="9B3287"/>
            <w:vAlign w:val="center"/>
          </w:tcPr>
          <w:p w14:paraId="069B4D91" w14:textId="5DA5955B" w:rsidR="00A47C6D" w:rsidRDefault="00A47C6D" w:rsidP="00A52D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FADEF" wp14:editId="164F7A52">
                  <wp:extent cx="518160" cy="518160"/>
                  <wp:effectExtent l="0" t="0" r="0" b="0"/>
                  <wp:docPr id="6" name="Graphique 6" descr="Presse-pap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Presse-papiers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FFB5F" w14:textId="06084713" w:rsidR="00483F74" w:rsidRDefault="00483F74" w:rsidP="00A52D4A">
            <w:pPr>
              <w:jc w:val="center"/>
            </w:pPr>
            <w:r>
              <w:t>Audit énergétique</w:t>
            </w:r>
          </w:p>
        </w:tc>
      </w:tr>
      <w:tr w:rsidR="00483F74" w14:paraId="13C48761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5D96FECF" w14:textId="0A2E2E99" w:rsidR="00483F74" w:rsidRDefault="0051404C" w:rsidP="00A52D4A">
            <w:pPr>
              <w:jc w:val="center"/>
            </w:pPr>
            <w:r>
              <w:t>I</w:t>
            </w:r>
            <w:r w:rsidR="00483F74">
              <w:t>solation thermique des fenêtres (double ou triple vitrage</w:t>
            </w:r>
            <w:r>
              <w:t>)</w:t>
            </w:r>
          </w:p>
        </w:tc>
        <w:tc>
          <w:tcPr>
            <w:tcW w:w="2265" w:type="dxa"/>
            <w:shd w:val="clear" w:color="auto" w:fill="D377C1"/>
            <w:vAlign w:val="center"/>
          </w:tcPr>
          <w:p w14:paraId="04BA3D9E" w14:textId="744F8446" w:rsidR="00483F74" w:rsidRDefault="0051404C" w:rsidP="00A52D4A">
            <w:pPr>
              <w:jc w:val="center"/>
            </w:pPr>
            <w:r>
              <w:t>C</w:t>
            </w:r>
            <w:r w:rsidR="00483F74">
              <w:t>haudière à granulés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77DA97E2" w14:textId="543B5C0E" w:rsidR="00483F74" w:rsidRDefault="00A47C6D" w:rsidP="00A52D4A">
            <w:pPr>
              <w:jc w:val="center"/>
            </w:pPr>
            <w:r>
              <w:t>V</w:t>
            </w:r>
            <w:r w:rsidR="00DC5E0F">
              <w:t>entilation mécanique contrôlée (VMC) double flux</w:t>
            </w:r>
          </w:p>
        </w:tc>
        <w:tc>
          <w:tcPr>
            <w:tcW w:w="2266" w:type="dxa"/>
            <w:shd w:val="clear" w:color="auto" w:fill="D377C1"/>
            <w:vAlign w:val="center"/>
          </w:tcPr>
          <w:p w14:paraId="1B450A5A" w14:textId="1E51F82E" w:rsidR="00DC5E0F" w:rsidRDefault="00DC5E0F" w:rsidP="00A52D4A">
            <w:pPr>
              <w:jc w:val="center"/>
            </w:pPr>
          </w:p>
          <w:p w14:paraId="1801AFDE" w14:textId="77777777" w:rsidR="00483F74" w:rsidRDefault="00483F74" w:rsidP="00A52D4A">
            <w:pPr>
              <w:jc w:val="center"/>
            </w:pPr>
          </w:p>
        </w:tc>
      </w:tr>
      <w:tr w:rsidR="00483F74" w14:paraId="7A899A32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758A62C3" w14:textId="2FA6A0A0" w:rsidR="00483F74" w:rsidRDefault="0051404C" w:rsidP="00A52D4A">
            <w:pPr>
              <w:jc w:val="center"/>
            </w:pPr>
            <w:r>
              <w:t>I</w:t>
            </w:r>
            <w:r w:rsidR="00483F74">
              <w:t>solation des murs par l'extérieur</w:t>
            </w:r>
          </w:p>
        </w:tc>
        <w:tc>
          <w:tcPr>
            <w:tcW w:w="2265" w:type="dxa"/>
            <w:shd w:val="clear" w:color="auto" w:fill="D377C1"/>
            <w:vAlign w:val="center"/>
          </w:tcPr>
          <w:p w14:paraId="58FBBA77" w14:textId="2CEA9C0D" w:rsidR="00483F74" w:rsidRDefault="0051404C" w:rsidP="00A52D4A">
            <w:pPr>
              <w:jc w:val="center"/>
            </w:pPr>
            <w:r>
              <w:t>Réseaux de chaleur ou de froid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4C2D4929" w14:textId="77777777" w:rsidR="00483F74" w:rsidRDefault="00483F74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005C933F" w14:textId="77777777" w:rsidR="00483F74" w:rsidRDefault="00483F74" w:rsidP="00A52D4A">
            <w:pPr>
              <w:jc w:val="center"/>
            </w:pPr>
          </w:p>
        </w:tc>
      </w:tr>
      <w:tr w:rsidR="00DC5E0F" w14:paraId="77EE74D4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6C8EFCC3" w14:textId="07BBD228" w:rsidR="00DC5E0F" w:rsidRDefault="0051404C" w:rsidP="00A52D4A">
            <w:pPr>
              <w:jc w:val="center"/>
            </w:pPr>
            <w:r>
              <w:t>I</w:t>
            </w:r>
            <w:r w:rsidR="00DC5E0F">
              <w:t>solation des murs par l'intérieur</w:t>
            </w:r>
          </w:p>
        </w:tc>
        <w:tc>
          <w:tcPr>
            <w:tcW w:w="2265" w:type="dxa"/>
            <w:shd w:val="clear" w:color="auto" w:fill="D377C1"/>
            <w:vAlign w:val="center"/>
          </w:tcPr>
          <w:p w14:paraId="4483AA71" w14:textId="2D22B6D7" w:rsidR="00DC5E0F" w:rsidRDefault="0051404C" w:rsidP="00A52D4A">
            <w:pPr>
              <w:jc w:val="center"/>
            </w:pPr>
            <w:r>
              <w:t>Foyers fermés, insert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0A2E9695" w14:textId="77777777" w:rsidR="00DC5E0F" w:rsidRDefault="00DC5E0F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38538A53" w14:textId="77777777" w:rsidR="00DC5E0F" w:rsidRDefault="00DC5E0F" w:rsidP="00A52D4A">
            <w:pPr>
              <w:jc w:val="center"/>
            </w:pPr>
          </w:p>
        </w:tc>
      </w:tr>
      <w:tr w:rsidR="00483F74" w14:paraId="1F942C96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0BED66DB" w14:textId="0B11D9AC" w:rsidR="00483F74" w:rsidRDefault="0051404C" w:rsidP="00A52D4A">
            <w:pPr>
              <w:jc w:val="center"/>
            </w:pPr>
            <w:r>
              <w:t>I</w:t>
            </w:r>
            <w:r w:rsidR="00483F74">
              <w:t>solation des toitures terrasses</w:t>
            </w:r>
          </w:p>
        </w:tc>
        <w:tc>
          <w:tcPr>
            <w:tcW w:w="2265" w:type="dxa"/>
            <w:shd w:val="clear" w:color="auto" w:fill="D377C1"/>
            <w:vAlign w:val="center"/>
          </w:tcPr>
          <w:p w14:paraId="2D8F96A2" w14:textId="564A656A" w:rsidR="00483F74" w:rsidRDefault="0051404C" w:rsidP="00A52D4A">
            <w:pPr>
              <w:jc w:val="center"/>
            </w:pPr>
            <w:r>
              <w:t>Chaudière à gaz très haute performance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78928BBB" w14:textId="77777777" w:rsidR="00483F74" w:rsidRDefault="00483F74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29077EB2" w14:textId="77777777" w:rsidR="00483F74" w:rsidRDefault="00483F74" w:rsidP="00A52D4A">
            <w:pPr>
              <w:jc w:val="center"/>
            </w:pPr>
          </w:p>
        </w:tc>
      </w:tr>
      <w:tr w:rsidR="00483F74" w14:paraId="48582E5D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127F39A2" w14:textId="715338E0" w:rsidR="00483F74" w:rsidRDefault="0051404C" w:rsidP="00A52D4A">
            <w:pPr>
              <w:jc w:val="center"/>
            </w:pPr>
            <w:r>
              <w:t>I</w:t>
            </w:r>
            <w:r w:rsidR="00483F74">
              <w:t>solation des rampants de toiture et plafonds de combles</w:t>
            </w:r>
          </w:p>
        </w:tc>
        <w:tc>
          <w:tcPr>
            <w:tcW w:w="2265" w:type="dxa"/>
            <w:shd w:val="clear" w:color="auto" w:fill="D377C1"/>
            <w:vAlign w:val="center"/>
          </w:tcPr>
          <w:p w14:paraId="35D2A5BD" w14:textId="5BBC9F47" w:rsidR="00483F74" w:rsidRDefault="0051404C" w:rsidP="00A52D4A">
            <w:pPr>
              <w:jc w:val="center"/>
            </w:pPr>
            <w:r>
              <w:t xml:space="preserve">Pompe à chaleur (géothermique, </w:t>
            </w:r>
            <w:proofErr w:type="spellStart"/>
            <w:r>
              <w:t>solarothermique</w:t>
            </w:r>
            <w:proofErr w:type="spellEnd"/>
            <w:r>
              <w:t>, air-eau)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6D2D0BBD" w14:textId="77777777" w:rsidR="00483F74" w:rsidRDefault="00483F74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742847D2" w14:textId="77777777" w:rsidR="00483F74" w:rsidRDefault="00483F74" w:rsidP="00A52D4A">
            <w:pPr>
              <w:jc w:val="center"/>
            </w:pPr>
          </w:p>
        </w:tc>
      </w:tr>
      <w:tr w:rsidR="00483F74" w14:paraId="4C421C68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79F76EFD" w14:textId="77777777" w:rsidR="00483F74" w:rsidRDefault="00483F74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2469CB82" w14:textId="2C3745E2" w:rsidR="00483F74" w:rsidRDefault="0051404C" w:rsidP="00A52D4A">
            <w:pPr>
              <w:jc w:val="center"/>
            </w:pPr>
            <w:r>
              <w:t>P</w:t>
            </w:r>
            <w:r w:rsidR="00DC5E0F">
              <w:t>oêle à granulés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09B10DC6" w14:textId="77777777" w:rsidR="00483F74" w:rsidRDefault="00483F74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686A2CB5" w14:textId="77777777" w:rsidR="00483F74" w:rsidRDefault="00483F74" w:rsidP="00A52D4A">
            <w:pPr>
              <w:jc w:val="center"/>
            </w:pPr>
          </w:p>
        </w:tc>
      </w:tr>
      <w:tr w:rsidR="00483F74" w14:paraId="6B035442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1F4896E7" w14:textId="77777777" w:rsidR="00483F74" w:rsidRDefault="00483F74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3ED1DC95" w14:textId="0EFA3F68" w:rsidR="00483F74" w:rsidRDefault="0051404C" w:rsidP="00A52D4A">
            <w:pPr>
              <w:jc w:val="center"/>
            </w:pPr>
            <w:r>
              <w:t>P</w:t>
            </w:r>
            <w:r w:rsidR="00DC5E0F">
              <w:t>oêle à bûches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1408109B" w14:textId="77777777" w:rsidR="00483F74" w:rsidRDefault="00483F74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1471C0EF" w14:textId="77777777" w:rsidR="00483F74" w:rsidRDefault="00483F74" w:rsidP="00A52D4A">
            <w:pPr>
              <w:jc w:val="center"/>
            </w:pPr>
          </w:p>
        </w:tc>
      </w:tr>
      <w:tr w:rsidR="00483F74" w14:paraId="7D8C0153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79C45418" w14:textId="77777777" w:rsidR="00483F74" w:rsidRDefault="00483F74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7BDB211D" w14:textId="27CD2BFA" w:rsidR="00483F74" w:rsidRDefault="0051404C" w:rsidP="00A52D4A">
            <w:pPr>
              <w:jc w:val="center"/>
            </w:pPr>
            <w:r>
              <w:t>Chauffage solaire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2092543E" w14:textId="77777777" w:rsidR="00483F74" w:rsidRDefault="00483F74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28B687FF" w14:textId="77777777" w:rsidR="00483F74" w:rsidRDefault="00483F74" w:rsidP="00A52D4A">
            <w:pPr>
              <w:jc w:val="center"/>
            </w:pPr>
          </w:p>
        </w:tc>
      </w:tr>
      <w:tr w:rsidR="00DC5E0F" w14:paraId="4EBCE928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51A6DA79" w14:textId="77777777" w:rsidR="00DC5E0F" w:rsidRDefault="00DC5E0F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091842B4" w14:textId="2F93D039" w:rsidR="00DC5E0F" w:rsidRDefault="0051404C" w:rsidP="00A52D4A">
            <w:pPr>
              <w:jc w:val="center"/>
            </w:pPr>
            <w:r>
              <w:t>É</w:t>
            </w:r>
            <w:r w:rsidR="00DC5E0F">
              <w:t>quipement solaire hybride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02C3B8B4" w14:textId="77777777" w:rsidR="00DC5E0F" w:rsidRDefault="00DC5E0F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2991858B" w14:textId="77777777" w:rsidR="00DC5E0F" w:rsidRDefault="00DC5E0F" w:rsidP="00A52D4A">
            <w:pPr>
              <w:jc w:val="center"/>
            </w:pPr>
          </w:p>
        </w:tc>
      </w:tr>
      <w:tr w:rsidR="00DC5E0F" w14:paraId="0C4055B6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78393526" w14:textId="77777777" w:rsidR="00DC5E0F" w:rsidRDefault="00DC5E0F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45B8E79E" w14:textId="7F217BA8" w:rsidR="00DC5E0F" w:rsidRDefault="0051404C" w:rsidP="00A52D4A">
            <w:pPr>
              <w:jc w:val="center"/>
            </w:pPr>
            <w:r>
              <w:t>Chaudière à bûches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619A7921" w14:textId="77777777" w:rsidR="00DC5E0F" w:rsidRDefault="00DC5E0F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7E25D3EE" w14:textId="77777777" w:rsidR="00DC5E0F" w:rsidRDefault="00DC5E0F" w:rsidP="00A52D4A">
            <w:pPr>
              <w:jc w:val="center"/>
            </w:pPr>
          </w:p>
        </w:tc>
      </w:tr>
      <w:tr w:rsidR="00DC5E0F" w14:paraId="0142CC35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56C88DB6" w14:textId="77777777" w:rsidR="00DC5E0F" w:rsidRDefault="00DC5E0F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66F16F0F" w14:textId="6E374E0B" w:rsidR="00DC5E0F" w:rsidRDefault="0051404C" w:rsidP="00A52D4A">
            <w:pPr>
              <w:jc w:val="center"/>
            </w:pPr>
            <w:r>
              <w:t>Chauffe-eau solaire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573E7A86" w14:textId="77777777" w:rsidR="00DC5E0F" w:rsidRDefault="00DC5E0F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12EF4BFC" w14:textId="77777777" w:rsidR="00DC5E0F" w:rsidRDefault="00DC5E0F" w:rsidP="00A52D4A">
            <w:pPr>
              <w:jc w:val="center"/>
            </w:pPr>
          </w:p>
        </w:tc>
      </w:tr>
      <w:tr w:rsidR="00DC5E0F" w14:paraId="40B24F8B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65AA3AD0" w14:textId="77777777" w:rsidR="00DC5E0F" w:rsidRDefault="00DC5E0F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4E9F25CA" w14:textId="3E7D3DA0" w:rsidR="00DC5E0F" w:rsidRDefault="0051404C" w:rsidP="00A52D4A">
            <w:pPr>
              <w:jc w:val="center"/>
            </w:pPr>
            <w:r>
              <w:t>C</w:t>
            </w:r>
            <w:r w:rsidR="00DC5E0F">
              <w:t>hauffe-eau thermodynamique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4A798342" w14:textId="77777777" w:rsidR="00DC5E0F" w:rsidRDefault="00DC5E0F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32AD62C1" w14:textId="77777777" w:rsidR="00DC5E0F" w:rsidRDefault="00DC5E0F" w:rsidP="00A52D4A">
            <w:pPr>
              <w:jc w:val="center"/>
            </w:pPr>
          </w:p>
        </w:tc>
      </w:tr>
      <w:tr w:rsidR="00DC5E0F" w14:paraId="3325B1DD" w14:textId="77777777" w:rsidTr="00954935">
        <w:trPr>
          <w:jc w:val="center"/>
        </w:trPr>
        <w:tc>
          <w:tcPr>
            <w:tcW w:w="2265" w:type="dxa"/>
            <w:shd w:val="clear" w:color="auto" w:fill="7DD6DF"/>
            <w:vAlign w:val="center"/>
          </w:tcPr>
          <w:p w14:paraId="2F9026E5" w14:textId="77777777" w:rsidR="00DC5E0F" w:rsidRDefault="00DC5E0F" w:rsidP="00A52D4A">
            <w:pPr>
              <w:jc w:val="center"/>
            </w:pPr>
          </w:p>
        </w:tc>
        <w:tc>
          <w:tcPr>
            <w:tcW w:w="2265" w:type="dxa"/>
            <w:shd w:val="clear" w:color="auto" w:fill="D377C1"/>
            <w:vAlign w:val="center"/>
          </w:tcPr>
          <w:p w14:paraId="4830F67C" w14:textId="1239D116" w:rsidR="00DC5E0F" w:rsidRDefault="0051404C" w:rsidP="00A52D4A">
            <w:pPr>
              <w:jc w:val="center"/>
            </w:pPr>
            <w:r>
              <w:t>D</w:t>
            </w:r>
            <w:r w:rsidR="00DC5E0F">
              <w:t>épose d'une cuve à fioul</w:t>
            </w:r>
          </w:p>
        </w:tc>
        <w:tc>
          <w:tcPr>
            <w:tcW w:w="2266" w:type="dxa"/>
            <w:shd w:val="clear" w:color="auto" w:fill="7DD6DF"/>
            <w:vAlign w:val="center"/>
          </w:tcPr>
          <w:p w14:paraId="196CBDFA" w14:textId="77777777" w:rsidR="00DC5E0F" w:rsidRDefault="00DC5E0F" w:rsidP="00A52D4A">
            <w:pPr>
              <w:jc w:val="center"/>
            </w:pPr>
          </w:p>
        </w:tc>
        <w:tc>
          <w:tcPr>
            <w:tcW w:w="2266" w:type="dxa"/>
            <w:shd w:val="clear" w:color="auto" w:fill="D377C1"/>
            <w:vAlign w:val="center"/>
          </w:tcPr>
          <w:p w14:paraId="7BC0EBDF" w14:textId="77777777" w:rsidR="00DC5E0F" w:rsidRDefault="00DC5E0F" w:rsidP="00A52D4A">
            <w:pPr>
              <w:jc w:val="center"/>
            </w:pPr>
          </w:p>
        </w:tc>
      </w:tr>
    </w:tbl>
    <w:p w14:paraId="2BF1E3F2" w14:textId="77777777" w:rsidR="00F2739C" w:rsidRDefault="00F2739C" w:rsidP="00F2739C">
      <w:r>
        <w:rPr>
          <w:noProof/>
        </w:rPr>
        <w:drawing>
          <wp:anchor distT="0" distB="0" distL="114300" distR="114300" simplePos="0" relativeHeight="251660288" behindDoc="0" locked="0" layoutInCell="1" allowOverlap="1" wp14:anchorId="0068788D" wp14:editId="42E56A3A">
            <wp:simplePos x="0" y="0"/>
            <wp:positionH relativeFrom="column">
              <wp:posOffset>319405</wp:posOffset>
            </wp:positionH>
            <wp:positionV relativeFrom="paragraph">
              <wp:posOffset>187325</wp:posOffset>
            </wp:positionV>
            <wp:extent cx="830580" cy="830580"/>
            <wp:effectExtent l="0" t="0" r="0" b="0"/>
            <wp:wrapSquare wrapText="bothSides"/>
            <wp:docPr id="1" name="Graphique 1" descr="Inform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formatio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27CC6" w14:textId="77777777" w:rsidR="00F2739C" w:rsidRPr="00AD4DA4" w:rsidRDefault="00F2739C" w:rsidP="00F2739C">
      <w:pPr>
        <w:jc w:val="center"/>
        <w:rPr>
          <w:b/>
          <w:bCs/>
          <w:color w:val="9B3287"/>
          <w:sz w:val="28"/>
          <w:szCs w:val="28"/>
        </w:rPr>
      </w:pPr>
      <w:r w:rsidRPr="00AD4DA4">
        <w:rPr>
          <w:b/>
          <w:bCs/>
          <w:color w:val="9B3287"/>
          <w:sz w:val="28"/>
          <w:szCs w:val="28"/>
        </w:rPr>
        <w:t>LE SAVIEZ-VOUS ?</w:t>
      </w:r>
    </w:p>
    <w:p w14:paraId="5DCC924C" w14:textId="2D9D1481" w:rsidR="00F2739C" w:rsidRDefault="0051404C" w:rsidP="0051404C">
      <w:pPr>
        <w:jc w:val="center"/>
        <w:rPr>
          <w:color w:val="9B3287"/>
        </w:rPr>
      </w:pPr>
      <w:proofErr w:type="spellStart"/>
      <w:r w:rsidRPr="0051404C">
        <w:rPr>
          <w:color w:val="9B3287"/>
        </w:rPr>
        <w:t>MaPrimeRénov</w:t>
      </w:r>
      <w:proofErr w:type="spellEnd"/>
      <w:r w:rsidRPr="0051404C">
        <w:rPr>
          <w:color w:val="9B3287"/>
        </w:rPr>
        <w:t>’ est cumulable avec d’autres aides</w:t>
      </w:r>
      <w:r>
        <w:rPr>
          <w:color w:val="9B3287"/>
        </w:rPr>
        <w:t xml:space="preserve"> </w:t>
      </w:r>
      <w:r w:rsidRPr="0051404C">
        <w:rPr>
          <w:color w:val="9B3287"/>
        </w:rPr>
        <w:t>: la Prime CEE, la TVA à 5,5 %, l’éco-prêt à taux 0.</w:t>
      </w:r>
    </w:p>
    <w:p w14:paraId="65432111" w14:textId="5B588435" w:rsidR="0051404C" w:rsidRDefault="0051404C" w:rsidP="0051404C">
      <w:pPr>
        <w:jc w:val="center"/>
        <w:rPr>
          <w:color w:val="9B3287"/>
        </w:rPr>
      </w:pPr>
    </w:p>
    <w:p w14:paraId="284878D8" w14:textId="42AAE833" w:rsidR="007D3071" w:rsidRDefault="007D3071" w:rsidP="00DC5E0F">
      <w:pPr>
        <w:pStyle w:val="Titre2"/>
      </w:pPr>
      <w:r w:rsidRPr="001530B0">
        <w:lastRenderedPageBreak/>
        <w:t>Quelles sont les démarches à effectuer ?</w:t>
      </w:r>
    </w:p>
    <w:p w14:paraId="03517014" w14:textId="32608610" w:rsidR="00014567" w:rsidRDefault="00014567" w:rsidP="00FD72FA">
      <w:pPr>
        <w:pStyle w:val="Paragraphedeliste"/>
        <w:numPr>
          <w:ilvl w:val="0"/>
          <w:numId w:val="4"/>
        </w:numPr>
      </w:pPr>
      <w:r>
        <w:t>Avant le début des travaux, demande</w:t>
      </w:r>
      <w:r w:rsidR="00E6384A">
        <w:t>z</w:t>
      </w:r>
      <w:r>
        <w:t xml:space="preserve"> des devis auprès des professionnels RGE</w:t>
      </w:r>
    </w:p>
    <w:p w14:paraId="0F0502FE" w14:textId="08E9411A" w:rsidR="00954935" w:rsidRDefault="00014567" w:rsidP="00FD72FA">
      <w:pPr>
        <w:pStyle w:val="Paragraphedeliste"/>
        <w:numPr>
          <w:ilvl w:val="0"/>
          <w:numId w:val="4"/>
        </w:numPr>
      </w:pPr>
      <w:r>
        <w:t>Lorsque le choix du professionnel est fait, v</w:t>
      </w:r>
      <w:r w:rsidR="00FD72FA">
        <w:t>ous</w:t>
      </w:r>
      <w:r w:rsidR="00954935">
        <w:t xml:space="preserve"> pouvez</w:t>
      </w:r>
      <w:r w:rsidR="00FD72FA">
        <w:t xml:space="preserve"> </w:t>
      </w:r>
      <w:r w:rsidR="00954935">
        <w:t xml:space="preserve">faire votre demande sur le site </w:t>
      </w:r>
      <w:r>
        <w:t>https://www.maprimerenov.gouv.fr</w:t>
      </w:r>
      <w:r w:rsidR="00954935">
        <w:t xml:space="preserve"> et déposer votre dossier complété des pièces justificatives demandées (devis d’un artisan RGE, papiers d'identité, revenus, </w:t>
      </w:r>
      <w:proofErr w:type="spellStart"/>
      <w:r w:rsidR="00954935">
        <w:t>etc</w:t>
      </w:r>
      <w:proofErr w:type="spellEnd"/>
      <w:r w:rsidR="00954935">
        <w:t xml:space="preserve">). </w:t>
      </w:r>
    </w:p>
    <w:p w14:paraId="4E508F48" w14:textId="61D32917" w:rsidR="00954935" w:rsidRDefault="00014567" w:rsidP="00FD72FA">
      <w:pPr>
        <w:pStyle w:val="Paragraphedeliste"/>
        <w:numPr>
          <w:ilvl w:val="0"/>
          <w:numId w:val="4"/>
        </w:numPr>
      </w:pPr>
      <w:r>
        <w:t>Un accusé de réception sera envoyé par email</w:t>
      </w:r>
      <w:r w:rsidR="007E55E4">
        <w:t>.</w:t>
      </w:r>
      <w:r>
        <w:t xml:space="preserve"> </w:t>
      </w:r>
      <w:r w:rsidR="007E55E4">
        <w:t>V</w:t>
      </w:r>
      <w:r w:rsidR="00954935">
        <w:t xml:space="preserve">otre dossier </w:t>
      </w:r>
      <w:r w:rsidR="007E55E4">
        <w:t>sera alors en cours d’étude</w:t>
      </w:r>
      <w:r w:rsidR="00954935">
        <w:t xml:space="preserve"> pour vérifier son éligibilité. Si c’est le cas, vous serez</w:t>
      </w:r>
      <w:r w:rsidR="007E55E4">
        <w:t xml:space="preserve"> à nouveau</w:t>
      </w:r>
      <w:r w:rsidR="00954935">
        <w:t xml:space="preserve"> notifié de la bonne attribution de la prime. Ce sera le moment d’entamer vos travaux !</w:t>
      </w:r>
    </w:p>
    <w:p w14:paraId="68FEFFCC" w14:textId="5DABE7EB" w:rsidR="00954935" w:rsidRDefault="00954935" w:rsidP="00FD72FA">
      <w:pPr>
        <w:pStyle w:val="Paragraphedeliste"/>
        <w:numPr>
          <w:ilvl w:val="0"/>
          <w:numId w:val="4"/>
        </w:numPr>
      </w:pPr>
      <w:r>
        <w:t xml:space="preserve">Après la réalisation de vos travaux, vous devrez demander une facture à l’entreprise RGE qui s’est occupée du chantier. </w:t>
      </w:r>
    </w:p>
    <w:p w14:paraId="41316EF0" w14:textId="7E6D6994" w:rsidR="00FD72FA" w:rsidRDefault="00954935" w:rsidP="00954935">
      <w:pPr>
        <w:pStyle w:val="Paragraphedeliste"/>
        <w:numPr>
          <w:ilvl w:val="0"/>
          <w:numId w:val="4"/>
        </w:numPr>
      </w:pPr>
      <w:r>
        <w:t>Puis, il vous suffi</w:t>
      </w:r>
      <w:r w:rsidR="007E55E4">
        <w:t>ra</w:t>
      </w:r>
      <w:r>
        <w:t xml:space="preserve"> de faire la demande de versement de votre prime sur le compte que vous a</w:t>
      </w:r>
      <w:r w:rsidR="007E55E4">
        <w:t>urez</w:t>
      </w:r>
      <w:r>
        <w:t xml:space="preserve"> créé au début de l’opération, de transmettre votre facture et votre RIB et d’attendre !</w:t>
      </w:r>
    </w:p>
    <w:p w14:paraId="3EC42794" w14:textId="6D182C19" w:rsidR="00FD72FA" w:rsidRDefault="00FD72FA" w:rsidP="00954935">
      <w:r>
        <w:rPr>
          <w:noProof/>
        </w:rPr>
        <w:drawing>
          <wp:anchor distT="0" distB="0" distL="114300" distR="114300" simplePos="0" relativeHeight="251662336" behindDoc="0" locked="0" layoutInCell="1" allowOverlap="1" wp14:anchorId="7D7BDC89" wp14:editId="521C8D86">
            <wp:simplePos x="0" y="0"/>
            <wp:positionH relativeFrom="margin">
              <wp:posOffset>2472690</wp:posOffset>
            </wp:positionH>
            <wp:positionV relativeFrom="paragraph">
              <wp:posOffset>194945</wp:posOffset>
            </wp:positionV>
            <wp:extent cx="830580" cy="830580"/>
            <wp:effectExtent l="0" t="0" r="0" b="0"/>
            <wp:wrapSquare wrapText="bothSides"/>
            <wp:docPr id="9" name="Graphique 9" descr="Inform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formatio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FACB7" w14:textId="43BFF858" w:rsidR="00FD72FA" w:rsidRDefault="00FD72FA" w:rsidP="00954935"/>
    <w:p w14:paraId="59AD5B4D" w14:textId="77777777" w:rsidR="00FD72FA" w:rsidRDefault="00FD72FA" w:rsidP="00FD72FA"/>
    <w:p w14:paraId="6A947FB2" w14:textId="071C9BE4" w:rsidR="00FD72FA" w:rsidRDefault="00FD72FA" w:rsidP="00FD72FA"/>
    <w:p w14:paraId="5DF3D0FD" w14:textId="77777777" w:rsidR="00FD72FA" w:rsidRPr="00AD4DA4" w:rsidRDefault="00FD72FA" w:rsidP="00FD72FA">
      <w:pPr>
        <w:jc w:val="center"/>
        <w:rPr>
          <w:b/>
          <w:bCs/>
          <w:color w:val="9B3287"/>
          <w:sz w:val="28"/>
          <w:szCs w:val="28"/>
        </w:rPr>
      </w:pPr>
      <w:r w:rsidRPr="00AD4DA4">
        <w:rPr>
          <w:b/>
          <w:bCs/>
          <w:color w:val="9B3287"/>
          <w:sz w:val="28"/>
          <w:szCs w:val="28"/>
        </w:rPr>
        <w:t>LE SAVIEZ-VOUS ?</w:t>
      </w:r>
    </w:p>
    <w:p w14:paraId="4B2497B6" w14:textId="0F6F0DA8" w:rsidR="00FD72FA" w:rsidRPr="00FD72FA" w:rsidRDefault="00FD72FA" w:rsidP="00FD72FA">
      <w:pPr>
        <w:jc w:val="center"/>
        <w:rPr>
          <w:b/>
          <w:bCs/>
          <w:color w:val="9B3287"/>
        </w:rPr>
      </w:pPr>
      <w:r w:rsidRPr="00FD72FA">
        <w:rPr>
          <w:b/>
          <w:bCs/>
          <w:color w:val="9B3287"/>
        </w:rPr>
        <w:t>En plus de ces primes, vous pouvez bénéficier de bonus</w:t>
      </w:r>
      <w:r>
        <w:rPr>
          <w:b/>
          <w:bCs/>
          <w:color w:val="9B3287"/>
        </w:rPr>
        <w:t> :</w:t>
      </w:r>
    </w:p>
    <w:p w14:paraId="55DD104F" w14:textId="67A48299" w:rsidR="00FD72FA" w:rsidRPr="00FD72FA" w:rsidRDefault="00FD72FA" w:rsidP="00FD72FA">
      <w:pPr>
        <w:jc w:val="center"/>
        <w:rPr>
          <w:color w:val="9B3287"/>
        </w:rPr>
      </w:pPr>
      <w:r>
        <w:rPr>
          <w:color w:val="9B3287"/>
        </w:rPr>
        <w:t>. S</w:t>
      </w:r>
      <w:r w:rsidRPr="00FD72FA">
        <w:rPr>
          <w:color w:val="9B3287"/>
        </w:rPr>
        <w:t>i les travaux permettent à votre logement de ne plus avoir une étiquette énergétique comprise entre F et G, vous pouvez décrocher un bonus “sortie de passoire” ;</w:t>
      </w:r>
    </w:p>
    <w:p w14:paraId="1CC795D2" w14:textId="1E7E9C36" w:rsidR="00FD72FA" w:rsidRPr="00FD72FA" w:rsidRDefault="00FD72FA" w:rsidP="00FD72FA">
      <w:pPr>
        <w:jc w:val="center"/>
        <w:rPr>
          <w:color w:val="9B3287"/>
        </w:rPr>
      </w:pPr>
      <w:r>
        <w:rPr>
          <w:color w:val="9B3287"/>
        </w:rPr>
        <w:t>. S</w:t>
      </w:r>
      <w:r w:rsidRPr="00FD72FA">
        <w:rPr>
          <w:color w:val="9B3287"/>
        </w:rPr>
        <w:t>i les travaux vous permettent d’atteindre l’étiquette énergétique A ou B, vous pouvez obtenir le bonus “bâtiment basse consommation” ;</w:t>
      </w:r>
    </w:p>
    <w:p w14:paraId="2FCB5B14" w14:textId="3CA28EDA" w:rsidR="00FD72FA" w:rsidRPr="00FD72FA" w:rsidRDefault="00FD72FA" w:rsidP="00FD72FA">
      <w:pPr>
        <w:jc w:val="center"/>
        <w:rPr>
          <w:color w:val="9B3287"/>
        </w:rPr>
      </w:pPr>
      <w:r>
        <w:rPr>
          <w:color w:val="9B3287"/>
        </w:rPr>
        <w:t xml:space="preserve">. </w:t>
      </w:r>
      <w:r w:rsidR="007E55E4">
        <w:rPr>
          <w:color w:val="9B3287"/>
        </w:rPr>
        <w:t>I</w:t>
      </w:r>
      <w:r w:rsidRPr="00FD72FA">
        <w:rPr>
          <w:color w:val="9B3287"/>
        </w:rPr>
        <w:t>l existe un forfait “assistance à maîtrise d’ouvrage”</w:t>
      </w:r>
      <w:r w:rsidR="007E55E4">
        <w:rPr>
          <w:color w:val="9B3287"/>
        </w:rPr>
        <w:t xml:space="preserve"> pour les ménages désirant être accompagnés pendant leurs travaux</w:t>
      </w:r>
      <w:r w:rsidRPr="00FD72FA">
        <w:rPr>
          <w:color w:val="9B3287"/>
        </w:rPr>
        <w:t xml:space="preserve"> ;</w:t>
      </w:r>
    </w:p>
    <w:p w14:paraId="231E3A40" w14:textId="2BCF6012" w:rsidR="00FD72FA" w:rsidRPr="001530B0" w:rsidRDefault="007E55E4" w:rsidP="00FD72FA">
      <w:pPr>
        <w:jc w:val="center"/>
      </w:pPr>
      <w:r>
        <w:rPr>
          <w:color w:val="9B3287"/>
        </w:rPr>
        <w:t xml:space="preserve">. Il existe un forfait « rénovation globale » pour les ménages éligibles à </w:t>
      </w:r>
      <w:proofErr w:type="spellStart"/>
      <w:r>
        <w:rPr>
          <w:color w:val="9B3287"/>
        </w:rPr>
        <w:t>MaPrimeRénov</w:t>
      </w:r>
      <w:proofErr w:type="spellEnd"/>
      <w:r>
        <w:rPr>
          <w:color w:val="9B3287"/>
        </w:rPr>
        <w:t xml:space="preserve">’ Bleu et </w:t>
      </w:r>
      <w:proofErr w:type="spellStart"/>
      <w:r>
        <w:rPr>
          <w:color w:val="9B3287"/>
        </w:rPr>
        <w:t>MaPrimeRénov</w:t>
      </w:r>
      <w:proofErr w:type="spellEnd"/>
      <w:r>
        <w:rPr>
          <w:color w:val="9B3287"/>
        </w:rPr>
        <w:t>’ Jaune.</w:t>
      </w:r>
    </w:p>
    <w:p w14:paraId="47F84BB4" w14:textId="3E2A2FEA" w:rsidR="00954935" w:rsidRDefault="00954935" w:rsidP="00954935"/>
    <w:p w14:paraId="737D01AA" w14:textId="1DB5D8E9" w:rsidR="00E6384A" w:rsidRDefault="00E6384A" w:rsidP="00954935"/>
    <w:p w14:paraId="0A829178" w14:textId="5558CBE3" w:rsidR="002541D3" w:rsidRDefault="002541D3" w:rsidP="00954935">
      <w:r>
        <w:rPr>
          <w:noProof/>
        </w:rPr>
        <w:drawing>
          <wp:inline distT="0" distB="0" distL="0" distR="0" wp14:anchorId="4A929C68" wp14:editId="30B98F9E">
            <wp:extent cx="2352675" cy="857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t="25715" r="23002" b="14901"/>
                    <a:stretch/>
                  </pic:blipFill>
                  <pic:spPr bwMode="auto">
                    <a:xfrm>
                      <a:off x="0" y="0"/>
                      <a:ext cx="2354632" cy="85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F29C0" w14:textId="229A0A1C" w:rsidR="00E6384A" w:rsidRDefault="00E6384A" w:rsidP="00954935">
      <w:r>
        <w:t>Cet article a été rédigé par TE38.</w:t>
      </w:r>
    </w:p>
    <w:p w14:paraId="3588AB19" w14:textId="71B62528" w:rsidR="00E6384A" w:rsidRDefault="00E6384A" w:rsidP="00954935">
      <w:r>
        <w:t xml:space="preserve">+ d’info : </w:t>
      </w:r>
      <w:hyperlink r:id="rId16" w:history="1">
        <w:r w:rsidRPr="00FF1F1E">
          <w:rPr>
            <w:rStyle w:val="Lienhypertexte"/>
          </w:rPr>
          <w:t>www.te38.fr</w:t>
        </w:r>
      </w:hyperlink>
      <w:r>
        <w:t xml:space="preserve"> </w:t>
      </w:r>
    </w:p>
    <w:sectPr w:rsidR="00E6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9ED"/>
    <w:multiLevelType w:val="hybridMultilevel"/>
    <w:tmpl w:val="094C0548"/>
    <w:lvl w:ilvl="0" w:tplc="AA7A8B5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6DA1"/>
    <w:multiLevelType w:val="hybridMultilevel"/>
    <w:tmpl w:val="287EB8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F57"/>
    <w:multiLevelType w:val="hybridMultilevel"/>
    <w:tmpl w:val="90DA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1766"/>
    <w:multiLevelType w:val="hybridMultilevel"/>
    <w:tmpl w:val="4C7A71DE"/>
    <w:lvl w:ilvl="0" w:tplc="27761EB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71"/>
    <w:rsid w:val="00014567"/>
    <w:rsid w:val="001530B0"/>
    <w:rsid w:val="001A5445"/>
    <w:rsid w:val="002541D3"/>
    <w:rsid w:val="00312427"/>
    <w:rsid w:val="00483F74"/>
    <w:rsid w:val="0051404C"/>
    <w:rsid w:val="00595091"/>
    <w:rsid w:val="00705CE7"/>
    <w:rsid w:val="007D3071"/>
    <w:rsid w:val="007E55E4"/>
    <w:rsid w:val="00831D1B"/>
    <w:rsid w:val="00954935"/>
    <w:rsid w:val="009D40F0"/>
    <w:rsid w:val="00A47C6D"/>
    <w:rsid w:val="00A52D4A"/>
    <w:rsid w:val="00AD4DA4"/>
    <w:rsid w:val="00D873F5"/>
    <w:rsid w:val="00DC5E0F"/>
    <w:rsid w:val="00E6384A"/>
    <w:rsid w:val="00EE2E71"/>
    <w:rsid w:val="00F2739C"/>
    <w:rsid w:val="00F55ECE"/>
    <w:rsid w:val="00FD72FA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6721"/>
  <w15:chartTrackingRefBased/>
  <w15:docId w15:val="{4E548A60-1460-4FAF-A7E0-B3A6553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A4"/>
    <w:rPr>
      <w:rFonts w:ascii="Trebuchet MS" w:hAnsi="Trebuchet MS"/>
    </w:rPr>
  </w:style>
  <w:style w:type="paragraph" w:styleId="Titre1">
    <w:name w:val="heading 1"/>
    <w:basedOn w:val="Normal"/>
    <w:next w:val="Normal"/>
    <w:link w:val="Titre1Car"/>
    <w:uiPriority w:val="9"/>
    <w:qFormat/>
    <w:rsid w:val="00AD4DA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9B3287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4DA4"/>
    <w:pPr>
      <w:keepNext/>
      <w:keepLines/>
      <w:spacing w:before="40" w:after="0"/>
      <w:outlineLvl w:val="1"/>
    </w:pPr>
    <w:rPr>
      <w:rFonts w:eastAsiaTheme="majorEastAsia" w:cstheme="majorBidi"/>
      <w:b/>
      <w:bCs/>
      <w:color w:val="32B9C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09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D4DA4"/>
    <w:rPr>
      <w:rFonts w:ascii="Trebuchet MS" w:eastAsiaTheme="majorEastAsia" w:hAnsi="Trebuchet MS" w:cstheme="majorBidi"/>
      <w:b/>
      <w:bCs/>
      <w:color w:val="9B3287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4DA4"/>
    <w:rPr>
      <w:rFonts w:ascii="Trebuchet MS" w:eastAsiaTheme="majorEastAsia" w:hAnsi="Trebuchet MS" w:cstheme="majorBidi"/>
      <w:b/>
      <w:bCs/>
      <w:color w:val="32B9C8"/>
      <w:sz w:val="28"/>
      <w:szCs w:val="28"/>
    </w:rPr>
  </w:style>
  <w:style w:type="table" w:styleId="Grilledutableau">
    <w:name w:val="Table Grid"/>
    <w:basedOn w:val="TableauNormal"/>
    <w:uiPriority w:val="39"/>
    <w:rsid w:val="00EE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38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38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Lucie LAGARDE</cp:lastModifiedBy>
  <cp:revision>4</cp:revision>
  <dcterms:created xsi:type="dcterms:W3CDTF">2022-01-07T09:47:00Z</dcterms:created>
  <dcterms:modified xsi:type="dcterms:W3CDTF">2022-01-25T10:54:00Z</dcterms:modified>
</cp:coreProperties>
</file>