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C58B" w14:textId="02B5CBB3" w:rsidR="00C94211" w:rsidRPr="0093019F" w:rsidRDefault="0093019F" w:rsidP="0093019F">
      <w:pPr>
        <w:pStyle w:val="Titre1"/>
      </w:pPr>
      <w:r w:rsidRPr="0093019F">
        <w:t>SOUSCRIRE A UNE OFFRE D’ENERGIE « VERTE » : EN QUOI ÇA CONSISTE ?</w:t>
      </w:r>
    </w:p>
    <w:p w14:paraId="622D9F28" w14:textId="77777777" w:rsidR="00C94211" w:rsidRDefault="00C94211" w:rsidP="00CA2D1D"/>
    <w:p w14:paraId="5780FF3A" w14:textId="09538EB7" w:rsidR="00C94211" w:rsidRPr="0093019F" w:rsidRDefault="0093019F" w:rsidP="0093019F">
      <w:pPr>
        <w:pStyle w:val="Titre2"/>
      </w:pPr>
      <w:r w:rsidRPr="0093019F">
        <w:t>ÉLECTRICITE « VERTE » ET GAZ « VERT » : KESAKO ?</w:t>
      </w:r>
    </w:p>
    <w:p w14:paraId="376B4CB3" w14:textId="3ED6CABF" w:rsidR="00C94211" w:rsidRDefault="00C94211" w:rsidP="00F149BB">
      <w:pPr>
        <w:jc w:val="both"/>
      </w:pPr>
      <w:r w:rsidRPr="00C94211">
        <w:t>Le terme électricité « verte » désigne l’électricité produite uniquement à partir de sources d’énergies renouvelables</w:t>
      </w:r>
      <w:r>
        <w:t> :</w:t>
      </w:r>
    </w:p>
    <w:p w14:paraId="512CDCB9" w14:textId="7FACC539" w:rsidR="00C94211" w:rsidRPr="00C94211" w:rsidRDefault="00C94211" w:rsidP="00F149BB">
      <w:pPr>
        <w:jc w:val="both"/>
      </w:pPr>
      <w:r>
        <w:rPr>
          <w:noProof/>
        </w:rPr>
        <w:drawing>
          <wp:inline distT="0" distB="0" distL="0" distR="0" wp14:anchorId="221717CA" wp14:editId="46149426">
            <wp:extent cx="5760720" cy="10680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02695" w14:textId="00A672B1" w:rsidR="009B74E8" w:rsidRDefault="009B74E8" w:rsidP="00F149BB">
      <w:pPr>
        <w:jc w:val="both"/>
      </w:pPr>
      <w:r>
        <w:t>On qualifie u</w:t>
      </w:r>
      <w:r w:rsidR="00C94211" w:rsidRPr="00C94211">
        <w:t xml:space="preserve">ne offre de fourniture d’électricité </w:t>
      </w:r>
      <w:r>
        <w:t>de</w:t>
      </w:r>
      <w:r w:rsidR="00C94211" w:rsidRPr="00C94211">
        <w:t xml:space="preserve"> « verte »</w:t>
      </w:r>
      <w:r>
        <w:t xml:space="preserve"> lorsque </w:t>
      </w:r>
      <w:r w:rsidR="00C94211" w:rsidRPr="00C94211">
        <w:t xml:space="preserve">le fournisseur peut garantir </w:t>
      </w:r>
      <w:r>
        <w:t>que la</w:t>
      </w:r>
      <w:r w:rsidR="00C94211" w:rsidRPr="00C94211">
        <w:t xml:space="preserve"> quantité d’électricité d’origine renouvelable</w:t>
      </w:r>
      <w:r>
        <w:t xml:space="preserve"> injectée sur le réseau équivaut à</w:t>
      </w:r>
      <w:r w:rsidR="00C94211" w:rsidRPr="00C94211">
        <w:t xml:space="preserve"> la consommation des clients de cette offre. </w:t>
      </w:r>
    </w:p>
    <w:p w14:paraId="79D5E67C" w14:textId="7F44EE42" w:rsidR="00C94211" w:rsidRDefault="00C94211" w:rsidP="00F149BB">
      <w:pPr>
        <w:jc w:val="both"/>
      </w:pPr>
      <w:r w:rsidRPr="00C94211">
        <w:t xml:space="preserve">Pour </w:t>
      </w:r>
      <w:r w:rsidR="009B74E8">
        <w:t xml:space="preserve">le </w:t>
      </w:r>
      <w:r w:rsidRPr="00C94211">
        <w:t>prouver</w:t>
      </w:r>
      <w:r w:rsidR="009B74E8">
        <w:t>, les fournisseurs doivent présenter les garanties d’origine qui, au niveau européen, a</w:t>
      </w:r>
      <w:r w:rsidRPr="00C94211">
        <w:t>ssurent</w:t>
      </w:r>
      <w:r w:rsidR="009B74E8">
        <w:t xml:space="preserve"> </w:t>
      </w:r>
      <w:r w:rsidRPr="00C94211">
        <w:t xml:space="preserve">la traçabilité administrative de l’électricité verte. </w:t>
      </w:r>
      <w:r w:rsidR="009B74E8">
        <w:t>Elles se présentent sous la forme de</w:t>
      </w:r>
      <w:r w:rsidRPr="00C94211">
        <w:t xml:space="preserve"> certificats électroniques délivrés aux producteurs proportionnellement à la</w:t>
      </w:r>
      <w:r w:rsidR="00F149BB">
        <w:t xml:space="preserve"> </w:t>
      </w:r>
      <w:r w:rsidRPr="00C94211">
        <w:t>quantité d’électricité produite à partir de sources d’énergies renouvelables.</w:t>
      </w:r>
      <w:r w:rsidR="005F0D7B">
        <w:t xml:space="preserve"> </w:t>
      </w:r>
    </w:p>
    <w:p w14:paraId="0745B701" w14:textId="7862C4C2" w:rsidR="005F0D7B" w:rsidRDefault="00383CD0" w:rsidP="00F149BB">
      <w:pPr>
        <w:jc w:val="both"/>
      </w:pPr>
      <w:r>
        <w:t>En ce qui concerne le gaz</w:t>
      </w:r>
      <w:r w:rsidR="00276810">
        <w:t xml:space="preserve"> « vert »</w:t>
      </w:r>
      <w:r>
        <w:t xml:space="preserve">, celui-ci est </w:t>
      </w:r>
      <w:r w:rsidRPr="00383CD0">
        <w:t>issu essentiellement du biométhane</w:t>
      </w:r>
      <w:r>
        <w:t xml:space="preserve">, </w:t>
      </w:r>
      <w:r w:rsidRPr="00383CD0">
        <w:t xml:space="preserve">obtenu par un procédé chimique et biologique : </w:t>
      </w:r>
    </w:p>
    <w:p w14:paraId="3F87FB4B" w14:textId="72B57F1B" w:rsidR="00383CD0" w:rsidRDefault="00BB590F" w:rsidP="00BB590F">
      <w:pPr>
        <w:jc w:val="center"/>
      </w:pPr>
      <w:r>
        <w:rPr>
          <w:noProof/>
        </w:rPr>
        <w:drawing>
          <wp:inline distT="0" distB="0" distL="0" distR="0" wp14:anchorId="37DA1DDA" wp14:editId="421EB402">
            <wp:extent cx="1618491" cy="114909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91" cy="114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17390" w14:textId="77777777" w:rsidR="00B20885" w:rsidRDefault="00B20885" w:rsidP="00CA2D1D"/>
    <w:p w14:paraId="3D3BE5B9" w14:textId="2364109B" w:rsidR="00B20885" w:rsidRDefault="00B20885" w:rsidP="00CA2D1D">
      <w:r>
        <w:t>Produit au cœur des territoires, ce gaz vert valorise nos déchets, contribue au maintien de l’agriculture et crée des emplois dans les zones rurales.</w:t>
      </w:r>
    </w:p>
    <w:p w14:paraId="00FC4A3C" w14:textId="376F06A7" w:rsidR="00383CD0" w:rsidRPr="00383CD0" w:rsidRDefault="00383CD0" w:rsidP="00CA2D1D">
      <w:r w:rsidRPr="00383CD0">
        <w:t xml:space="preserve">La </w:t>
      </w:r>
      <w:r w:rsidR="008330A8">
        <w:t xml:space="preserve">qualité </w:t>
      </w:r>
      <w:r w:rsidRPr="00383CD0">
        <w:t xml:space="preserve">du biométhane </w:t>
      </w:r>
      <w:r w:rsidR="008330A8">
        <w:t xml:space="preserve">produit </w:t>
      </w:r>
      <w:r w:rsidRPr="00383CD0">
        <w:t xml:space="preserve">est contrôlée par le gestionnaire de réseau GRDF qui tient </w:t>
      </w:r>
      <w:r w:rsidR="008330A8">
        <w:t xml:space="preserve">également </w:t>
      </w:r>
      <w:r w:rsidRPr="00383CD0">
        <w:t xml:space="preserve">le registre national des garanties d’origine </w:t>
      </w:r>
      <w:r w:rsidR="008330A8">
        <w:t>permettant de s’assurer de la nature renouvelable du gaz produit</w:t>
      </w:r>
      <w:r w:rsidR="00120D89">
        <w:t xml:space="preserve"> </w:t>
      </w:r>
      <w:r w:rsidRPr="00383CD0">
        <w:t>et</w:t>
      </w:r>
      <w:r w:rsidR="00120D89" w:rsidRPr="00383CD0">
        <w:t xml:space="preserve"> </w:t>
      </w:r>
      <w:r w:rsidRPr="00383CD0">
        <w:t>ainsi d’assurer la traçabilité des molécules produites.</w:t>
      </w:r>
    </w:p>
    <w:p w14:paraId="68653E6D" w14:textId="77777777" w:rsidR="00BB590F" w:rsidRDefault="00BB590F" w:rsidP="0093019F">
      <w:pPr>
        <w:pStyle w:val="Titre2"/>
      </w:pPr>
    </w:p>
    <w:p w14:paraId="01FD753F" w14:textId="2399D79D" w:rsidR="00C94211" w:rsidRPr="00CA2D1D" w:rsidRDefault="0093019F" w:rsidP="0093019F">
      <w:pPr>
        <w:pStyle w:val="Titre2"/>
      </w:pPr>
      <w:r w:rsidRPr="00CA2D1D">
        <w:lastRenderedPageBreak/>
        <w:t>QUI PROPOSE DES OFFRES D’ELECTRICITE « VERTE » ? ET DES OFFRES DE GAZ « VERT » ?</w:t>
      </w:r>
    </w:p>
    <w:p w14:paraId="7387B5EB" w14:textId="77777777" w:rsidR="00C94211" w:rsidRPr="00C94211" w:rsidRDefault="00C94211" w:rsidP="00CA2D1D">
      <w:r w:rsidRPr="00C94211">
        <w:t>Presque tous les fournisseurs d’électricité proposent des offres « vertes ».  Il existe deux types d’offres :</w:t>
      </w:r>
    </w:p>
    <w:p w14:paraId="385AF5E1" w14:textId="4202D85A" w:rsidR="00C94211" w:rsidRPr="00C94211" w:rsidRDefault="00CA2D1D" w:rsidP="00276810">
      <w:pPr>
        <w:pStyle w:val="Paragraphedeliste"/>
        <w:numPr>
          <w:ilvl w:val="0"/>
          <w:numId w:val="1"/>
        </w:numPr>
        <w:jc w:val="both"/>
      </w:pPr>
      <w:r>
        <w:t>L</w:t>
      </w:r>
      <w:r w:rsidR="00C94211" w:rsidRPr="00C94211">
        <w:t>es offres vertes</w:t>
      </w:r>
      <w:r w:rsidR="00C22526">
        <w:t xml:space="preserve"> « standard »</w:t>
      </w:r>
      <w:r w:rsidR="00C94211" w:rsidRPr="00C94211">
        <w:t xml:space="preserve"> dans lesquelles le fournisseur acquiert des Garanties d’Origine ;</w:t>
      </w:r>
    </w:p>
    <w:p w14:paraId="2365983A" w14:textId="7301C5BD" w:rsidR="009E3D26" w:rsidRDefault="00CA2D1D" w:rsidP="00276810">
      <w:pPr>
        <w:pStyle w:val="Paragraphedeliste"/>
        <w:numPr>
          <w:ilvl w:val="0"/>
          <w:numId w:val="1"/>
        </w:numPr>
        <w:jc w:val="both"/>
      </w:pPr>
      <w:r>
        <w:t>L</w:t>
      </w:r>
      <w:r w:rsidR="00C94211" w:rsidRPr="00C94211">
        <w:t xml:space="preserve">es offres vertes </w:t>
      </w:r>
      <w:r w:rsidR="00C22526">
        <w:t xml:space="preserve">« Premium » </w:t>
      </w:r>
      <w:r w:rsidR="00C94211" w:rsidRPr="00C94211">
        <w:t>dans lesquelles le fournisseur s’engage, en plus des Garanties d’Origine, à s’approvisionner à partir de ses propres sites de production d’électricité verte ou à acheter directement de l’électricité verte à des producteurs locaux</w:t>
      </w:r>
    </w:p>
    <w:p w14:paraId="641B234B" w14:textId="77777777" w:rsidR="000570FE" w:rsidRDefault="000570FE" w:rsidP="00CA2D1D"/>
    <w:p w14:paraId="5D9895FD" w14:textId="260BE13F" w:rsidR="005F0D7B" w:rsidRDefault="005F0D7B" w:rsidP="00F149BB">
      <w:pPr>
        <w:jc w:val="both"/>
      </w:pPr>
      <w:r>
        <w:t>En ce qui concerne le gaz, c</w:t>
      </w:r>
      <w:r w:rsidRPr="00383CD0">
        <w:t>ertains fournisseurs proposent des offres de gaz vert</w:t>
      </w:r>
      <w:r w:rsidR="009E3D26">
        <w:t xml:space="preserve">, mais </w:t>
      </w:r>
      <w:r w:rsidR="00F149BB">
        <w:t xml:space="preserve">restent </w:t>
      </w:r>
      <w:r w:rsidR="009E3D26">
        <w:t xml:space="preserve">aujourd’hui </w:t>
      </w:r>
      <w:r w:rsidR="00276810">
        <w:t xml:space="preserve">encore </w:t>
      </w:r>
      <w:r w:rsidR="009E3D26">
        <w:t>peu nombreux</w:t>
      </w:r>
      <w:r>
        <w:t>.</w:t>
      </w:r>
      <w:r w:rsidR="00F149BB">
        <w:t xml:space="preserve"> Le développement de la filière biogaz dans les années à venir devrait permettre l’augmentation du nombre d’offres.</w:t>
      </w:r>
    </w:p>
    <w:p w14:paraId="58420E2A" w14:textId="7EECCD9A" w:rsidR="005F0D7B" w:rsidRPr="00CA2D1D" w:rsidRDefault="005F0D7B" w:rsidP="00CA2D1D">
      <w:pPr>
        <w:rPr>
          <w:highlight w:val="yellow"/>
        </w:rPr>
      </w:pPr>
      <w:r w:rsidRPr="00CA2D1D">
        <w:rPr>
          <w:highlight w:val="yellow"/>
        </w:rPr>
        <w:t>BON A SAVOIR :</w:t>
      </w:r>
    </w:p>
    <w:p w14:paraId="0F05A39C" w14:textId="5A0DB961" w:rsidR="00C94211" w:rsidRPr="00C94211" w:rsidRDefault="00C94211" w:rsidP="00CA2D1D">
      <w:r w:rsidRPr="00C94211">
        <w:rPr>
          <w:highlight w:val="yellow"/>
        </w:rPr>
        <w:t xml:space="preserve">Pour savoir si une offre est toute ou en partie « verte », </w:t>
      </w:r>
      <w:r w:rsidR="005F0D7B" w:rsidRPr="00CA2D1D">
        <w:rPr>
          <w:highlight w:val="yellow"/>
        </w:rPr>
        <w:t>consultez</w:t>
      </w:r>
      <w:r w:rsidRPr="00C94211">
        <w:rPr>
          <w:highlight w:val="yellow"/>
        </w:rPr>
        <w:t xml:space="preserve"> les conditions générales de vente </w:t>
      </w:r>
      <w:r w:rsidR="00BB590F">
        <w:rPr>
          <w:highlight w:val="yellow"/>
        </w:rPr>
        <w:t>de votre</w:t>
      </w:r>
      <w:r w:rsidRPr="00C94211">
        <w:rPr>
          <w:highlight w:val="yellow"/>
        </w:rPr>
        <w:t xml:space="preserve"> contrat ou utilis</w:t>
      </w:r>
      <w:r w:rsidR="005F0D7B" w:rsidRPr="00CA2D1D">
        <w:rPr>
          <w:highlight w:val="yellow"/>
        </w:rPr>
        <w:t>ez</w:t>
      </w:r>
      <w:r w:rsidRPr="00C94211">
        <w:rPr>
          <w:highlight w:val="yellow"/>
        </w:rPr>
        <w:t xml:space="preserve"> le comparateur du  médiateur national de l’énergie : </w:t>
      </w:r>
      <w:hyperlink r:id="rId8" w:tgtFrame="_self" w:history="1">
        <w:r w:rsidRPr="00C94211">
          <w:rPr>
            <w:color w:val="0B8C8F"/>
            <w:highlight w:val="yellow"/>
            <w:u w:val="single"/>
          </w:rPr>
          <w:t>http://comparateur.</w:t>
        </w:r>
        <w:r w:rsidRPr="00C94211">
          <w:rPr>
            <w:color w:val="0B8C8F"/>
            <w:highlight w:val="yellow"/>
          </w:rPr>
          <w:t>energie-info</w:t>
        </w:r>
        <w:r w:rsidRPr="00C94211">
          <w:rPr>
            <w:color w:val="0B8C8F"/>
            <w:highlight w:val="yellow"/>
            <w:u w:val="single"/>
          </w:rPr>
          <w:t>.fr</w:t>
        </w:r>
      </w:hyperlink>
      <w:r w:rsidR="005F0D7B">
        <w:t xml:space="preserve"> </w:t>
      </w:r>
    </w:p>
    <w:p w14:paraId="696D7DC8" w14:textId="7BC11B8D" w:rsidR="00383CD0" w:rsidRPr="00383CD0" w:rsidRDefault="00383CD0" w:rsidP="00CA2D1D"/>
    <w:p w14:paraId="6FD42F8B" w14:textId="3BDFAA36" w:rsidR="00C94211" w:rsidRPr="00C94211" w:rsidRDefault="0093019F" w:rsidP="0093019F">
      <w:pPr>
        <w:pStyle w:val="Titre2"/>
      </w:pPr>
      <w:r w:rsidRPr="00C94211">
        <w:t>SI JE SOUSCRIS UNE OFFRE VERTE, EST-CE QUE JE VAIS RECEVOIR CHEZ MOI DE L’ELECTRICITE « VERTE » </w:t>
      </w:r>
      <w:r>
        <w:t xml:space="preserve">ET/OU DU GAZ « VERT » </w:t>
      </w:r>
      <w:r w:rsidRPr="00C94211">
        <w:t>?</w:t>
      </w:r>
    </w:p>
    <w:p w14:paraId="3A30CF6C" w14:textId="311DF6A0" w:rsidR="00C94211" w:rsidRPr="00C94211" w:rsidRDefault="00C94211" w:rsidP="00CA2D1D">
      <w:r w:rsidRPr="00C94211">
        <w:t xml:space="preserve">Il est impossible de déterminer la provenance de l’électricité livrée à un client donné. </w:t>
      </w:r>
      <w:r w:rsidR="00BB590F">
        <w:t>Quels que soient le fournisseur et le type d’offre, c</w:t>
      </w:r>
      <w:r w:rsidRPr="00C94211">
        <w:t>’est la même électricité qui est livrée à tous les clients raccordés au réseau électrique français.</w:t>
      </w:r>
      <w:r w:rsidR="005F0D7B">
        <w:t xml:space="preserve"> Il en va de même pour le gaz.</w:t>
      </w:r>
    </w:p>
    <w:p w14:paraId="7D9239AC" w14:textId="0E9D59FA" w:rsidR="00C94211" w:rsidRDefault="00BB590F" w:rsidP="00CA2D1D">
      <w:r>
        <w:t>Ainsi, l</w:t>
      </w:r>
      <w:r w:rsidR="00C94211" w:rsidRPr="00C94211">
        <w:t>’électricité consommée en tout point du réseau français contient donc le même pourcentage d’électricité d’origine renouvelable</w:t>
      </w:r>
      <w:r w:rsidR="009E3D26">
        <w:t> ; tout comme le gaz</w:t>
      </w:r>
      <w:r w:rsidR="00C94211" w:rsidRPr="00C94211">
        <w:t>.</w:t>
      </w:r>
    </w:p>
    <w:p w14:paraId="4683FFD7" w14:textId="77777777" w:rsidR="00BB590F" w:rsidRDefault="009E3D26" w:rsidP="00CA2D1D">
      <w:r>
        <w:t>Vous pouvez retrouver</w:t>
      </w:r>
      <w:r w:rsidR="00BB590F">
        <w:t> :</w:t>
      </w:r>
    </w:p>
    <w:p w14:paraId="599FBD2D" w14:textId="5F2A44CF" w:rsidR="00BB590F" w:rsidRDefault="00BB590F" w:rsidP="00BB590F">
      <w:pPr>
        <w:pStyle w:val="Paragraphedeliste"/>
        <w:numPr>
          <w:ilvl w:val="0"/>
          <w:numId w:val="3"/>
        </w:numPr>
      </w:pPr>
      <w:r>
        <w:t>L</w:t>
      </w:r>
      <w:r w:rsidR="009E3D26">
        <w:t xml:space="preserve">a </w:t>
      </w:r>
      <w:r w:rsidR="009E3D26" w:rsidRPr="009E3D26">
        <w:t>répartition des sources de production d’électricité</w:t>
      </w:r>
      <w:r w:rsidR="009E3D26">
        <w:t xml:space="preserve"> et/ou de gaz</w:t>
      </w:r>
      <w:r w:rsidR="009E3D26" w:rsidRPr="009E3D26">
        <w:t xml:space="preserve"> des offres que </w:t>
      </w:r>
      <w:r w:rsidR="009E3D26">
        <w:t>votre</w:t>
      </w:r>
      <w:r w:rsidR="009E3D26" w:rsidRPr="009E3D26">
        <w:t xml:space="preserve"> fournisseur a commercialisées au cours de l’année précédente </w:t>
      </w:r>
    </w:p>
    <w:p w14:paraId="6F8DCD9A" w14:textId="77B08D46" w:rsidR="009E3D26" w:rsidRDefault="00BB590F" w:rsidP="00BB590F">
      <w:pPr>
        <w:pStyle w:val="Paragraphedeliste"/>
        <w:numPr>
          <w:ilvl w:val="0"/>
          <w:numId w:val="3"/>
        </w:numPr>
      </w:pPr>
      <w:r>
        <w:t xml:space="preserve">La </w:t>
      </w:r>
      <w:r w:rsidR="009E3D26" w:rsidRPr="009E3D26">
        <w:t xml:space="preserve">part d’électricité </w:t>
      </w:r>
      <w:r w:rsidR="009E3D26">
        <w:t xml:space="preserve">et/ou de gaz </w:t>
      </w:r>
      <w:r w:rsidR="009E3D26" w:rsidRPr="009E3D26">
        <w:t>d’origine renouvelable</w:t>
      </w:r>
    </w:p>
    <w:p w14:paraId="3604B0D4" w14:textId="070F7963" w:rsidR="00BB590F" w:rsidRPr="00C94211" w:rsidRDefault="00BB590F" w:rsidP="00CA2D1D">
      <w:proofErr w:type="gramStart"/>
      <w:r>
        <w:t>sur</w:t>
      </w:r>
      <w:proofErr w:type="gramEnd"/>
      <w:r>
        <w:t xml:space="preserve"> votre facture.</w:t>
      </w:r>
    </w:p>
    <w:p w14:paraId="45A430F1" w14:textId="77777777" w:rsidR="00BB590F" w:rsidRDefault="00BB590F" w:rsidP="0093019F">
      <w:pPr>
        <w:pStyle w:val="Titre2"/>
      </w:pPr>
    </w:p>
    <w:p w14:paraId="40ACBF82" w14:textId="67B1DB47" w:rsidR="009E3D26" w:rsidRPr="0093019F" w:rsidRDefault="0093019F" w:rsidP="0093019F">
      <w:pPr>
        <w:pStyle w:val="Titre2"/>
      </w:pPr>
      <w:r w:rsidRPr="0093019F">
        <w:t>EST-CE QUE JE CONTRIBUE AU DEVELOPPEMENT DES ENERGIES RENOUVELABLES EN SOUSCRIVANT A UNE OFFRE D’ELECTRICITE « VERTE » ET/OU DE GAZ « VERT » ?</w:t>
      </w:r>
    </w:p>
    <w:p w14:paraId="0E19A3A6" w14:textId="77777777" w:rsidR="00BB590F" w:rsidRDefault="00C94211" w:rsidP="00CA2D1D">
      <w:r w:rsidRPr="00CA2D1D">
        <w:lastRenderedPageBreak/>
        <w:t>Le soutien effectif au développement des énergies renouvelables</w:t>
      </w:r>
      <w:r w:rsidR="009E3D26" w:rsidRPr="00CA2D1D">
        <w:t>, suite à la souscription d’une offre « verte »</w:t>
      </w:r>
      <w:r w:rsidR="00BB590F">
        <w:t>,</w:t>
      </w:r>
      <w:r w:rsidRPr="00CA2D1D">
        <w:t xml:space="preserve"> dépend</w:t>
      </w:r>
      <w:r w:rsidR="00BB590F">
        <w:t> :</w:t>
      </w:r>
    </w:p>
    <w:p w14:paraId="699E50FB" w14:textId="549EC091" w:rsidR="00BB590F" w:rsidRPr="00BB590F" w:rsidRDefault="00BB590F" w:rsidP="00BB590F">
      <w:pPr>
        <w:pStyle w:val="Paragraphedeliste"/>
        <w:numPr>
          <w:ilvl w:val="0"/>
          <w:numId w:val="4"/>
        </w:numPr>
        <w:rPr>
          <w:sz w:val="36"/>
          <w:szCs w:val="36"/>
        </w:rPr>
      </w:pPr>
      <w:r>
        <w:t>D</w:t>
      </w:r>
      <w:r w:rsidR="00C94211" w:rsidRPr="00CA2D1D">
        <w:t xml:space="preserve">e sa nature </w:t>
      </w:r>
    </w:p>
    <w:p w14:paraId="3D90B501" w14:textId="7D047E02" w:rsidR="00BB590F" w:rsidRPr="00BB590F" w:rsidRDefault="00BB590F" w:rsidP="00BB590F">
      <w:pPr>
        <w:pStyle w:val="Paragraphedeliste"/>
        <w:numPr>
          <w:ilvl w:val="0"/>
          <w:numId w:val="4"/>
        </w:numPr>
        <w:rPr>
          <w:sz w:val="36"/>
          <w:szCs w:val="36"/>
        </w:rPr>
      </w:pPr>
      <w:r>
        <w:t>D</w:t>
      </w:r>
      <w:r w:rsidR="00C94211" w:rsidRPr="00CA2D1D">
        <w:t xml:space="preserve">u pays </w:t>
      </w:r>
    </w:p>
    <w:p w14:paraId="5B73AE69" w14:textId="65A311B8" w:rsidR="00BB590F" w:rsidRPr="00BB590F" w:rsidRDefault="00BB590F" w:rsidP="00BB590F">
      <w:pPr>
        <w:pStyle w:val="Paragraphedeliste"/>
        <w:numPr>
          <w:ilvl w:val="0"/>
          <w:numId w:val="4"/>
        </w:numPr>
        <w:rPr>
          <w:sz w:val="36"/>
          <w:szCs w:val="36"/>
        </w:rPr>
      </w:pPr>
      <w:r>
        <w:t>D</w:t>
      </w:r>
      <w:r w:rsidR="00C94211" w:rsidRPr="00CA2D1D">
        <w:t>e la source de production</w:t>
      </w:r>
    </w:p>
    <w:p w14:paraId="47BF5019" w14:textId="10CB1F12" w:rsidR="00C94211" w:rsidRPr="00BB590F" w:rsidRDefault="00C94211" w:rsidP="00BB590F">
      <w:pPr>
        <w:rPr>
          <w:sz w:val="36"/>
          <w:szCs w:val="36"/>
        </w:rPr>
      </w:pPr>
      <w:proofErr w:type="gramStart"/>
      <w:r w:rsidRPr="00CA2D1D">
        <w:t>dont</w:t>
      </w:r>
      <w:proofErr w:type="gramEnd"/>
      <w:r w:rsidRPr="00CA2D1D">
        <w:t xml:space="preserve"> sont issues les garanties d’origine.</w:t>
      </w:r>
    </w:p>
    <w:p w14:paraId="137C0881" w14:textId="2193B307" w:rsidR="00721E35" w:rsidRDefault="00BB590F" w:rsidP="00CA2D1D">
      <w:r>
        <w:t>Concernant l’électricité, q</w:t>
      </w:r>
      <w:r w:rsidR="00C94211" w:rsidRPr="00C94211">
        <w:t xml:space="preserve">uelle que soit </w:t>
      </w:r>
      <w:r w:rsidR="00CA2D1D">
        <w:t>votre</w:t>
      </w:r>
      <w:r w:rsidR="00C94211" w:rsidRPr="00C94211">
        <w:t xml:space="preserve"> offre, une partie des recettes de</w:t>
      </w:r>
      <w:r>
        <w:t xml:space="preserve">s </w:t>
      </w:r>
      <w:r w:rsidR="00C94211" w:rsidRPr="00C94211">
        <w:t>taxes</w:t>
      </w:r>
      <w:r>
        <w:t xml:space="preserve"> appliquées sur les énergies fossiles</w:t>
      </w:r>
      <w:r w:rsidR="00C94211" w:rsidRPr="00C94211">
        <w:t xml:space="preserve"> alimente</w:t>
      </w:r>
      <w:r w:rsidR="00CA2D1D">
        <w:t xml:space="preserve"> </w:t>
      </w:r>
      <w:r w:rsidR="00C94211" w:rsidRPr="00C94211">
        <w:t>un compte d’affectation spéciale (CAS) « Transition énergétique » qui finance le soutien aux énergies renouvelables.</w:t>
      </w:r>
    </w:p>
    <w:p w14:paraId="73DFC67A" w14:textId="1DC98F74" w:rsidR="005F0D7B" w:rsidRPr="005F0D7B" w:rsidRDefault="009E3D26" w:rsidP="00CA2D1D">
      <w:r>
        <w:t>Concernant le gaz, s</w:t>
      </w:r>
      <w:r w:rsidR="005F0D7B" w:rsidRPr="005F0D7B">
        <w:t>ouscrire une offre « verte » permet de contribuer au développement de la production de gaz d’origine renouvelable</w:t>
      </w:r>
      <w:r w:rsidR="00BB590F">
        <w:t>. De plus, le gaz vert étant très majoritairement issu de la méthanisation des résidus agricoles, souscrire une offre « verte » permet indirectement de soutenir la filière agricole.</w:t>
      </w:r>
    </w:p>
    <w:p w14:paraId="5137CDB9" w14:textId="77777777" w:rsidR="00BB590F" w:rsidRDefault="00BB590F" w:rsidP="00CA2D1D">
      <w:pPr>
        <w:rPr>
          <w:highlight w:val="yellow"/>
        </w:rPr>
      </w:pPr>
    </w:p>
    <w:p w14:paraId="620B66DD" w14:textId="6A7621EC" w:rsidR="004802BE" w:rsidRDefault="004802BE" w:rsidP="00CA2D1D"/>
    <w:p w14:paraId="51003B51" w14:textId="774E0AE9" w:rsidR="004802BE" w:rsidRPr="005F0D7B" w:rsidRDefault="004802BE" w:rsidP="00CA2D1D">
      <w:r>
        <w:t>Source : Médiateur de l’énergie</w:t>
      </w:r>
    </w:p>
    <w:sectPr w:rsidR="004802BE" w:rsidRPr="005F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5447"/>
    <w:multiLevelType w:val="hybridMultilevel"/>
    <w:tmpl w:val="01568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3787"/>
    <w:multiLevelType w:val="hybridMultilevel"/>
    <w:tmpl w:val="BAE476F8"/>
    <w:lvl w:ilvl="0" w:tplc="1CAE852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412D3"/>
    <w:multiLevelType w:val="multilevel"/>
    <w:tmpl w:val="A982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93B97"/>
    <w:multiLevelType w:val="multilevel"/>
    <w:tmpl w:val="A0A6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11"/>
    <w:rsid w:val="000570FE"/>
    <w:rsid w:val="00120D89"/>
    <w:rsid w:val="002014CA"/>
    <w:rsid w:val="00276810"/>
    <w:rsid w:val="00383CD0"/>
    <w:rsid w:val="00453C98"/>
    <w:rsid w:val="004802BE"/>
    <w:rsid w:val="005F0D7B"/>
    <w:rsid w:val="00721E35"/>
    <w:rsid w:val="008330A8"/>
    <w:rsid w:val="0093019F"/>
    <w:rsid w:val="009B74E8"/>
    <w:rsid w:val="009E3D26"/>
    <w:rsid w:val="00B20885"/>
    <w:rsid w:val="00BA117B"/>
    <w:rsid w:val="00BB590F"/>
    <w:rsid w:val="00C22526"/>
    <w:rsid w:val="00C94211"/>
    <w:rsid w:val="00CA2D1D"/>
    <w:rsid w:val="00EB74FD"/>
    <w:rsid w:val="00F1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2D7B"/>
  <w15:chartTrackingRefBased/>
  <w15:docId w15:val="{24AF5924-40CA-46EE-BC3C-81689A2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1D"/>
    <w:pPr>
      <w:shd w:val="clear" w:color="auto" w:fill="FFFFFF"/>
      <w:spacing w:before="300" w:after="150" w:line="240" w:lineRule="auto"/>
    </w:pPr>
    <w:rPr>
      <w:rFonts w:ascii="Trebuchet MS" w:eastAsia="Times New Roman" w:hAnsi="Trebuchet MS" w:cs="Times New Roman"/>
      <w:color w:val="666666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3019F"/>
    <w:pPr>
      <w:keepNext/>
      <w:keepLines/>
      <w:spacing w:before="240" w:after="0"/>
      <w:jc w:val="center"/>
      <w:outlineLvl w:val="0"/>
    </w:pPr>
    <w:rPr>
      <w:rFonts w:cstheme="majorBidi"/>
      <w:b/>
      <w:bCs/>
      <w:color w:val="9B3287"/>
      <w:sz w:val="36"/>
      <w:szCs w:val="36"/>
    </w:rPr>
  </w:style>
  <w:style w:type="paragraph" w:styleId="Titre2">
    <w:name w:val="heading 2"/>
    <w:basedOn w:val="Normal"/>
    <w:link w:val="Titre2Car"/>
    <w:uiPriority w:val="9"/>
    <w:qFormat/>
    <w:rsid w:val="0093019F"/>
    <w:pPr>
      <w:spacing w:before="100" w:beforeAutospacing="1" w:after="100" w:afterAutospacing="1"/>
      <w:outlineLvl w:val="1"/>
    </w:pPr>
    <w:rPr>
      <w:b/>
      <w:bCs/>
      <w:color w:val="32B9C8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3C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3019F"/>
    <w:rPr>
      <w:rFonts w:ascii="Trebuchet MS" w:eastAsia="Times New Roman" w:hAnsi="Trebuchet MS" w:cs="Times New Roman"/>
      <w:b/>
      <w:bCs/>
      <w:color w:val="32B9C8"/>
      <w:sz w:val="24"/>
      <w:szCs w:val="24"/>
      <w:shd w:val="clear" w:color="auto" w:fill="FFFFFF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942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ooltipsall">
    <w:name w:val="tooltipsall"/>
    <w:basedOn w:val="Policepardfaut"/>
    <w:rsid w:val="00C94211"/>
  </w:style>
  <w:style w:type="character" w:styleId="Lienhypertexte">
    <w:name w:val="Hyperlink"/>
    <w:basedOn w:val="Policepardfaut"/>
    <w:uiPriority w:val="99"/>
    <w:semiHidden/>
    <w:unhideWhenUsed/>
    <w:rsid w:val="00C9421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94211"/>
    <w:rPr>
      <w:b/>
      <w:bCs/>
    </w:rPr>
  </w:style>
  <w:style w:type="character" w:styleId="Accentuation">
    <w:name w:val="Emphasis"/>
    <w:basedOn w:val="Policepardfaut"/>
    <w:uiPriority w:val="20"/>
    <w:qFormat/>
    <w:rsid w:val="00C94211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93019F"/>
    <w:rPr>
      <w:rFonts w:ascii="Trebuchet MS" w:eastAsia="Times New Roman" w:hAnsi="Trebuchet MS" w:cstheme="majorBidi"/>
      <w:b/>
      <w:bCs/>
      <w:color w:val="9B3287"/>
      <w:sz w:val="36"/>
      <w:szCs w:val="36"/>
      <w:shd w:val="clear" w:color="auto" w:fill="FFFFFF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83C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A2D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681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810"/>
    <w:rPr>
      <w:rFonts w:ascii="Segoe UI" w:eastAsia="Times New Roman" w:hAnsi="Segoe UI" w:cs="Segoe UI"/>
      <w:color w:val="666666"/>
      <w:sz w:val="18"/>
      <w:szCs w:val="18"/>
      <w:shd w:val="clear" w:color="auto" w:fill="FFFFF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14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49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49BB"/>
    <w:rPr>
      <w:rFonts w:ascii="Trebuchet MS" w:eastAsia="Times New Roman" w:hAnsi="Trebuchet MS" w:cs="Times New Roman"/>
      <w:color w:val="666666"/>
      <w:sz w:val="20"/>
      <w:szCs w:val="20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49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49BB"/>
    <w:rPr>
      <w:rFonts w:ascii="Trebuchet MS" w:eastAsia="Times New Roman" w:hAnsi="Trebuchet MS" w:cs="Times New Roman"/>
      <w:b/>
      <w:bCs/>
      <w:color w:val="666666"/>
      <w:sz w:val="20"/>
      <w:szCs w:val="20"/>
      <w:shd w:val="clear" w:color="auto" w:fill="FFFFF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981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arateur.energie-info.f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147B-20CE-41C1-AE91-04AB51F4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LAGARDE</dc:creator>
  <cp:keywords/>
  <dc:description/>
  <cp:lastModifiedBy>Lucie LAGARDE</cp:lastModifiedBy>
  <cp:revision>5</cp:revision>
  <dcterms:created xsi:type="dcterms:W3CDTF">2021-10-04T13:25:00Z</dcterms:created>
  <dcterms:modified xsi:type="dcterms:W3CDTF">2021-11-09T10:13:00Z</dcterms:modified>
</cp:coreProperties>
</file>